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2D9F9">
      <w:pPr>
        <w:rPr>
          <w:rFonts w:ascii="宋体" w:hAnsi="宋体"/>
          <w:highlight w:val="none"/>
        </w:rPr>
      </w:pPr>
      <w:bookmarkStart w:id="0" w:name="_Toc9537"/>
      <w:bookmarkEnd w:id="0"/>
      <w:bookmarkStart w:id="1" w:name="_Toc31109"/>
      <w:bookmarkEnd w:id="1"/>
      <w:bookmarkStart w:id="2" w:name="_Toc2499"/>
      <w:bookmarkEnd w:id="2"/>
    </w:p>
    <w:p w14:paraId="5CC7BC62">
      <w:pPr>
        <w:tabs>
          <w:tab w:val="center" w:pos="4818"/>
        </w:tabs>
        <w:spacing w:line="360" w:lineRule="auto"/>
        <w:jc w:val="center"/>
        <w:rPr>
          <w:rFonts w:hint="eastAsia" w:ascii="宋体" w:hAnsi="宋体"/>
          <w:b/>
          <w:bCs/>
          <w:sz w:val="52"/>
          <w:szCs w:val="52"/>
          <w:highlight w:val="none"/>
        </w:rPr>
      </w:pPr>
      <w:r>
        <w:rPr>
          <w:rFonts w:hint="eastAsia" w:ascii="宋体" w:hAnsi="宋体" w:eastAsia="宋体" w:cs="宋体"/>
          <w:b/>
          <w:bCs/>
          <w:sz w:val="44"/>
          <w:szCs w:val="44"/>
          <w:highlight w:val="none"/>
          <w:u w:val="none"/>
          <w:lang w:eastAsia="zh-CN"/>
        </w:rPr>
        <w:t>淮南牛肉汤检验检测中心、检验检测设备更新、食品安全监管基础设施建设项目前期咨询服务</w:t>
      </w:r>
    </w:p>
    <w:p w14:paraId="50B7FF10">
      <w:pPr>
        <w:tabs>
          <w:tab w:val="center" w:pos="4818"/>
        </w:tabs>
        <w:spacing w:line="360" w:lineRule="auto"/>
        <w:jc w:val="center"/>
        <w:rPr>
          <w:rFonts w:hint="eastAsia" w:ascii="宋体" w:hAnsi="宋体"/>
          <w:b/>
          <w:bCs/>
          <w:sz w:val="52"/>
          <w:szCs w:val="52"/>
          <w:highlight w:val="none"/>
        </w:rPr>
      </w:pPr>
    </w:p>
    <w:p w14:paraId="53CE2605">
      <w:pPr>
        <w:tabs>
          <w:tab w:val="center" w:pos="4818"/>
        </w:tabs>
        <w:spacing w:line="360" w:lineRule="auto"/>
        <w:jc w:val="center"/>
        <w:rPr>
          <w:rFonts w:hint="eastAsia" w:ascii="宋体" w:hAnsi="宋体"/>
          <w:b/>
          <w:bCs/>
          <w:sz w:val="52"/>
          <w:szCs w:val="52"/>
          <w:highlight w:val="none"/>
        </w:rPr>
      </w:pPr>
    </w:p>
    <w:p w14:paraId="31DBE30A">
      <w:pPr>
        <w:tabs>
          <w:tab w:val="center" w:pos="4818"/>
        </w:tabs>
        <w:spacing w:line="360" w:lineRule="auto"/>
        <w:jc w:val="center"/>
        <w:rPr>
          <w:rFonts w:hint="eastAsia" w:ascii="宋体" w:hAnsi="宋体"/>
          <w:b/>
          <w:bCs/>
          <w:sz w:val="52"/>
          <w:szCs w:val="52"/>
          <w:highlight w:val="none"/>
        </w:rPr>
      </w:pPr>
    </w:p>
    <w:p w14:paraId="4875C223">
      <w:pPr>
        <w:tabs>
          <w:tab w:val="center" w:pos="4818"/>
        </w:tabs>
        <w:spacing w:line="360" w:lineRule="auto"/>
        <w:jc w:val="center"/>
        <w:rPr>
          <w:rFonts w:hint="eastAsia" w:ascii="宋体" w:hAnsi="宋体"/>
          <w:b/>
          <w:bCs/>
          <w:sz w:val="52"/>
          <w:szCs w:val="52"/>
          <w:highlight w:val="none"/>
        </w:rPr>
      </w:pPr>
      <w:r>
        <w:rPr>
          <w:rFonts w:hint="eastAsia" w:ascii="宋体" w:hAnsi="宋体"/>
          <w:b/>
          <w:bCs/>
          <w:sz w:val="52"/>
          <w:szCs w:val="52"/>
          <w:highlight w:val="none"/>
        </w:rPr>
        <w:t>竞争性磋商文件</w:t>
      </w:r>
    </w:p>
    <w:p w14:paraId="50C5C045">
      <w:pPr>
        <w:tabs>
          <w:tab w:val="center" w:pos="4818"/>
        </w:tabs>
        <w:spacing w:line="360" w:lineRule="auto"/>
        <w:jc w:val="center"/>
        <w:rPr>
          <w:rFonts w:hint="default" w:ascii="宋体" w:hAnsi="宋体" w:eastAsia="宋体"/>
          <w:b/>
          <w:bCs/>
          <w:sz w:val="32"/>
          <w:szCs w:val="32"/>
          <w:highlight w:val="none"/>
          <w:lang w:val="en-US" w:eastAsia="zh-CN"/>
        </w:rPr>
      </w:pPr>
      <w:r>
        <w:rPr>
          <w:rFonts w:hint="eastAsia" w:ascii="宋体" w:hAnsi="宋体"/>
          <w:b/>
          <w:bCs/>
          <w:sz w:val="32"/>
          <w:szCs w:val="32"/>
          <w:highlight w:val="none"/>
        </w:rPr>
        <w:t>项目编号：</w:t>
      </w:r>
      <w:r>
        <w:rPr>
          <w:rFonts w:hint="eastAsia" w:ascii="宋体" w:hAnsi="宋体"/>
          <w:b/>
          <w:bCs/>
          <w:sz w:val="32"/>
          <w:szCs w:val="32"/>
          <w:highlight w:val="none"/>
          <w:lang w:val="en-US" w:eastAsia="zh-CN"/>
        </w:rPr>
        <w:t>AHTC-20260902</w:t>
      </w:r>
    </w:p>
    <w:p w14:paraId="51620221">
      <w:pPr>
        <w:keepNext w:val="0"/>
        <w:keepLines w:val="0"/>
        <w:pageBreakBefore w:val="0"/>
        <w:widowControl w:val="0"/>
        <w:tabs>
          <w:tab w:val="center" w:pos="4818"/>
        </w:tabs>
        <w:kinsoku/>
        <w:wordWrap/>
        <w:overflowPunct/>
        <w:topLinePunct w:val="0"/>
        <w:autoSpaceDE/>
        <w:autoSpaceDN/>
        <w:bidi w:val="0"/>
        <w:adjustRightInd/>
        <w:snapToGrid/>
        <w:spacing w:before="240" w:beforeLines="100" w:after="240" w:afterLines="100" w:line="360" w:lineRule="auto"/>
        <w:ind w:firstLine="1285" w:firstLineChars="400"/>
        <w:jc w:val="both"/>
        <w:textAlignment w:val="auto"/>
        <w:rPr>
          <w:rFonts w:hint="eastAsia" w:ascii="宋体" w:hAnsi="宋体"/>
          <w:b/>
          <w:bCs/>
          <w:sz w:val="32"/>
          <w:szCs w:val="32"/>
          <w:highlight w:val="none"/>
        </w:rPr>
      </w:pPr>
    </w:p>
    <w:p w14:paraId="66C66951">
      <w:pPr>
        <w:keepNext w:val="0"/>
        <w:keepLines w:val="0"/>
        <w:pageBreakBefore w:val="0"/>
        <w:widowControl w:val="0"/>
        <w:tabs>
          <w:tab w:val="center" w:pos="4818"/>
        </w:tabs>
        <w:kinsoku/>
        <w:wordWrap/>
        <w:overflowPunct/>
        <w:topLinePunct w:val="0"/>
        <w:autoSpaceDE/>
        <w:autoSpaceDN/>
        <w:bidi w:val="0"/>
        <w:adjustRightInd/>
        <w:snapToGrid/>
        <w:spacing w:before="240" w:beforeLines="100" w:after="240" w:afterLines="100" w:line="360" w:lineRule="auto"/>
        <w:ind w:firstLine="1285" w:firstLineChars="400"/>
        <w:jc w:val="both"/>
        <w:textAlignment w:val="auto"/>
        <w:rPr>
          <w:rFonts w:hint="eastAsia" w:ascii="宋体" w:hAnsi="宋体"/>
          <w:b/>
          <w:bCs/>
          <w:sz w:val="32"/>
          <w:szCs w:val="32"/>
          <w:highlight w:val="none"/>
        </w:rPr>
      </w:pPr>
    </w:p>
    <w:p w14:paraId="218DDBE6">
      <w:pPr>
        <w:keepNext w:val="0"/>
        <w:keepLines w:val="0"/>
        <w:pageBreakBefore w:val="0"/>
        <w:widowControl w:val="0"/>
        <w:tabs>
          <w:tab w:val="center" w:pos="4818"/>
        </w:tabs>
        <w:kinsoku/>
        <w:wordWrap/>
        <w:overflowPunct/>
        <w:topLinePunct w:val="0"/>
        <w:autoSpaceDE/>
        <w:autoSpaceDN/>
        <w:bidi w:val="0"/>
        <w:adjustRightInd/>
        <w:snapToGrid/>
        <w:spacing w:before="240" w:beforeLines="100" w:after="240" w:afterLines="100" w:line="360" w:lineRule="auto"/>
        <w:ind w:firstLine="1285" w:firstLineChars="400"/>
        <w:jc w:val="both"/>
        <w:textAlignment w:val="auto"/>
        <w:rPr>
          <w:rFonts w:hint="eastAsia" w:ascii="宋体" w:hAnsi="宋体"/>
          <w:b/>
          <w:bCs/>
          <w:sz w:val="32"/>
          <w:szCs w:val="32"/>
          <w:highlight w:val="none"/>
        </w:rPr>
      </w:pPr>
    </w:p>
    <w:p w14:paraId="446658AE">
      <w:pPr>
        <w:keepNext w:val="0"/>
        <w:keepLines w:val="0"/>
        <w:pageBreakBefore w:val="0"/>
        <w:widowControl w:val="0"/>
        <w:tabs>
          <w:tab w:val="center" w:pos="4818"/>
        </w:tabs>
        <w:kinsoku/>
        <w:wordWrap/>
        <w:overflowPunct/>
        <w:topLinePunct w:val="0"/>
        <w:autoSpaceDE/>
        <w:autoSpaceDN/>
        <w:bidi w:val="0"/>
        <w:adjustRightInd/>
        <w:snapToGrid/>
        <w:spacing w:before="240" w:beforeLines="100" w:after="240" w:afterLines="100" w:line="360" w:lineRule="auto"/>
        <w:ind w:firstLine="1285" w:firstLineChars="400"/>
        <w:jc w:val="both"/>
        <w:textAlignment w:val="auto"/>
        <w:rPr>
          <w:rFonts w:hint="eastAsia" w:ascii="宋体" w:hAnsi="宋体"/>
          <w:b/>
          <w:bCs/>
          <w:sz w:val="32"/>
          <w:szCs w:val="32"/>
          <w:highlight w:val="none"/>
        </w:rPr>
      </w:pPr>
    </w:p>
    <w:p w14:paraId="49FD7E2E">
      <w:pPr>
        <w:keepNext w:val="0"/>
        <w:keepLines w:val="0"/>
        <w:pageBreakBefore w:val="0"/>
        <w:widowControl w:val="0"/>
        <w:tabs>
          <w:tab w:val="center" w:pos="4818"/>
        </w:tabs>
        <w:kinsoku/>
        <w:wordWrap/>
        <w:overflowPunct/>
        <w:topLinePunct w:val="0"/>
        <w:autoSpaceDE/>
        <w:autoSpaceDN/>
        <w:bidi w:val="0"/>
        <w:adjustRightInd/>
        <w:snapToGrid/>
        <w:spacing w:before="240" w:beforeLines="100" w:after="240" w:afterLines="100" w:line="360" w:lineRule="auto"/>
        <w:ind w:left="3526" w:leftChars="608" w:hanging="2249" w:hangingChars="700"/>
        <w:jc w:val="both"/>
        <w:textAlignment w:val="auto"/>
        <w:rPr>
          <w:rFonts w:hint="default" w:ascii="宋体" w:hAnsi="宋体" w:cs="宋体"/>
          <w:b/>
          <w:sz w:val="32"/>
          <w:szCs w:val="32"/>
          <w:highlight w:val="none"/>
          <w:u w:val="single"/>
          <w:lang w:val="en-US" w:eastAsia="zh-CN"/>
        </w:rPr>
      </w:pPr>
      <w:r>
        <w:rPr>
          <w:rFonts w:hint="eastAsia" w:ascii="宋体" w:hAnsi="宋体"/>
          <w:b/>
          <w:bCs/>
          <w:sz w:val="32"/>
          <w:szCs w:val="32"/>
          <w:highlight w:val="none"/>
        </w:rPr>
        <w:t>采</w:t>
      </w:r>
      <w:r>
        <w:rPr>
          <w:rFonts w:hint="eastAsia" w:ascii="宋体" w:hAnsi="宋体"/>
          <w:b/>
          <w:bCs/>
          <w:sz w:val="32"/>
          <w:szCs w:val="32"/>
          <w:highlight w:val="none"/>
          <w:lang w:val="en-US" w:eastAsia="zh-CN"/>
        </w:rPr>
        <w:t xml:space="preserve"> </w:t>
      </w:r>
      <w:r>
        <w:rPr>
          <w:rFonts w:hint="eastAsia" w:ascii="宋体" w:hAnsi="宋体"/>
          <w:b/>
          <w:bCs/>
          <w:sz w:val="32"/>
          <w:szCs w:val="32"/>
          <w:highlight w:val="none"/>
        </w:rPr>
        <w:t>购</w:t>
      </w:r>
      <w:r>
        <w:rPr>
          <w:rFonts w:hint="eastAsia" w:ascii="宋体" w:hAnsi="宋体"/>
          <w:b/>
          <w:bCs/>
          <w:sz w:val="32"/>
          <w:szCs w:val="32"/>
          <w:highlight w:val="none"/>
          <w:lang w:val="en-US" w:eastAsia="zh-CN"/>
        </w:rPr>
        <w:t xml:space="preserve"> </w:t>
      </w:r>
      <w:r>
        <w:rPr>
          <w:rFonts w:hint="eastAsia" w:ascii="宋体" w:hAnsi="宋体"/>
          <w:b/>
          <w:bCs/>
          <w:sz w:val="32"/>
          <w:szCs w:val="32"/>
          <w:highlight w:val="none"/>
        </w:rPr>
        <w:t>人：</w:t>
      </w:r>
      <w:r>
        <w:rPr>
          <w:rFonts w:hint="eastAsia" w:ascii="宋体" w:hAnsi="宋体"/>
          <w:b/>
          <w:bCs/>
          <w:sz w:val="32"/>
          <w:szCs w:val="32"/>
          <w:highlight w:val="none"/>
          <w:u w:val="single"/>
          <w:lang w:val="en-US" w:eastAsia="zh-CN"/>
        </w:rPr>
        <w:t xml:space="preserve">  </w:t>
      </w:r>
      <w:r>
        <w:rPr>
          <w:rFonts w:hint="eastAsia" w:ascii="宋体" w:hAnsi="宋体" w:cs="宋体"/>
          <w:b/>
          <w:sz w:val="32"/>
          <w:szCs w:val="32"/>
          <w:u w:val="single"/>
          <w:lang w:eastAsia="zh-CN"/>
        </w:rPr>
        <w:t>国家煤化工</w:t>
      </w:r>
      <w:r>
        <w:rPr>
          <w:rFonts w:hint="eastAsia" w:ascii="宋体" w:hAnsi="宋体" w:cs="宋体"/>
          <w:b/>
          <w:sz w:val="32"/>
          <w:szCs w:val="32"/>
          <w:highlight w:val="none"/>
          <w:u w:val="single"/>
          <w:lang w:eastAsia="zh-CN"/>
        </w:rPr>
        <w:t>产品质量检验检测中心（安徽）（淮南市产品质量监督检验所）</w:t>
      </w:r>
      <w:r>
        <w:rPr>
          <w:rFonts w:hint="eastAsia" w:ascii="宋体" w:hAnsi="宋体" w:cs="宋体"/>
          <w:b/>
          <w:sz w:val="32"/>
          <w:szCs w:val="32"/>
          <w:highlight w:val="none"/>
          <w:u w:val="single"/>
          <w:lang w:val="en-US" w:eastAsia="zh-CN"/>
        </w:rPr>
        <w:t xml:space="preserve">    </w:t>
      </w:r>
    </w:p>
    <w:p w14:paraId="07E5FD86">
      <w:pPr>
        <w:keepNext w:val="0"/>
        <w:keepLines w:val="0"/>
        <w:pageBreakBefore w:val="0"/>
        <w:widowControl w:val="0"/>
        <w:tabs>
          <w:tab w:val="center" w:pos="4818"/>
        </w:tabs>
        <w:kinsoku/>
        <w:wordWrap/>
        <w:overflowPunct/>
        <w:topLinePunct w:val="0"/>
        <w:autoSpaceDE/>
        <w:autoSpaceDN/>
        <w:bidi w:val="0"/>
        <w:adjustRightInd/>
        <w:snapToGrid/>
        <w:spacing w:before="240" w:beforeLines="100" w:after="240" w:afterLines="100" w:line="360" w:lineRule="auto"/>
        <w:ind w:firstLine="1285" w:firstLineChars="400"/>
        <w:jc w:val="both"/>
        <w:textAlignment w:val="auto"/>
        <w:rPr>
          <w:rFonts w:hint="default" w:ascii="宋体" w:hAnsi="宋体"/>
          <w:b/>
          <w:bCs/>
          <w:sz w:val="32"/>
          <w:szCs w:val="32"/>
          <w:highlight w:val="none"/>
          <w:lang w:val="en-US"/>
        </w:rPr>
      </w:pPr>
      <w:r>
        <w:rPr>
          <w:rFonts w:hint="eastAsia" w:ascii="宋体" w:hAnsi="宋体"/>
          <w:b/>
          <w:bCs/>
          <w:sz w:val="32"/>
          <w:szCs w:val="32"/>
          <w:highlight w:val="none"/>
        </w:rPr>
        <w:t>招标代理机构：</w:t>
      </w:r>
      <w:r>
        <w:rPr>
          <w:rFonts w:hint="eastAsia" w:ascii="宋体" w:hAnsi="宋体"/>
          <w:b/>
          <w:bCs/>
          <w:sz w:val="32"/>
          <w:szCs w:val="32"/>
          <w:highlight w:val="none"/>
          <w:u w:val="single"/>
          <w:lang w:val="en-US" w:eastAsia="zh-CN"/>
        </w:rPr>
        <w:t xml:space="preserve"> </w:t>
      </w:r>
      <w:r>
        <w:rPr>
          <w:rFonts w:hint="eastAsia" w:ascii="宋体" w:hAnsi="宋体"/>
          <w:b/>
          <w:bCs/>
          <w:sz w:val="32"/>
          <w:szCs w:val="32"/>
          <w:highlight w:val="none"/>
          <w:u w:val="single"/>
          <w:lang w:eastAsia="zh-CN"/>
        </w:rPr>
        <w:t>安徽踏川建设咨询有限公司</w:t>
      </w:r>
      <w:r>
        <w:rPr>
          <w:rFonts w:hint="eastAsia" w:ascii="宋体" w:hAnsi="宋体"/>
          <w:b/>
          <w:bCs/>
          <w:sz w:val="32"/>
          <w:szCs w:val="32"/>
          <w:highlight w:val="none"/>
          <w:u w:val="single"/>
          <w:lang w:val="en-US" w:eastAsia="zh-CN"/>
        </w:rPr>
        <w:t xml:space="preserve">       </w:t>
      </w:r>
    </w:p>
    <w:p w14:paraId="405A2D70">
      <w:pPr>
        <w:tabs>
          <w:tab w:val="left" w:pos="4620"/>
        </w:tabs>
        <w:spacing w:line="360" w:lineRule="auto"/>
        <w:ind w:left="0" w:leftChars="0" w:firstLine="1263" w:firstLineChars="393"/>
        <w:jc w:val="left"/>
        <w:rPr>
          <w:rFonts w:hint="default" w:ascii="宋体" w:hAnsi="宋体" w:eastAsiaTheme="minorEastAsia"/>
          <w:b/>
          <w:bCs/>
          <w:sz w:val="32"/>
          <w:szCs w:val="32"/>
          <w:highlight w:val="none"/>
          <w:lang w:val="en-US" w:eastAsia="zh-CN"/>
        </w:rPr>
      </w:pPr>
      <w:r>
        <w:rPr>
          <w:rFonts w:hint="eastAsia" w:ascii="宋体" w:hAnsi="宋体"/>
          <w:b/>
          <w:bCs/>
          <w:sz w:val="32"/>
          <w:szCs w:val="32"/>
          <w:highlight w:val="none"/>
          <w:lang w:val="en-US" w:eastAsia="zh-CN"/>
        </w:rPr>
        <w:t>时    间：</w:t>
      </w:r>
      <w:r>
        <w:rPr>
          <w:rFonts w:hint="eastAsia" w:ascii="宋体" w:hAnsi="宋体"/>
          <w:b/>
          <w:bCs/>
          <w:sz w:val="32"/>
          <w:szCs w:val="32"/>
          <w:highlight w:val="none"/>
          <w:u w:val="single"/>
          <w:lang w:val="en-US" w:eastAsia="zh-CN"/>
        </w:rPr>
        <w:t xml:space="preserve">           2026年9月              </w:t>
      </w:r>
    </w:p>
    <w:p w14:paraId="359FF6DF">
      <w:pPr>
        <w:pStyle w:val="9"/>
        <w:spacing w:line="720" w:lineRule="auto"/>
        <w:jc w:val="center"/>
        <w:rPr>
          <w:rFonts w:hint="eastAsia" w:ascii="黑体" w:hAnsi="黑体" w:eastAsia="黑体" w:cs="宋体"/>
          <w:b/>
          <w:bCs/>
          <w:color w:val="auto"/>
          <w:sz w:val="44"/>
          <w:szCs w:val="44"/>
          <w:highlight w:val="none"/>
        </w:rPr>
      </w:pPr>
      <w:bookmarkStart w:id="3" w:name="_Toc144907419"/>
      <w:bookmarkStart w:id="4" w:name="_Toc19931"/>
    </w:p>
    <w:p w14:paraId="6754BBD6">
      <w:pPr>
        <w:pStyle w:val="9"/>
        <w:spacing w:line="720" w:lineRule="auto"/>
        <w:jc w:val="center"/>
        <w:rPr>
          <w:rFonts w:ascii="黑体" w:hAnsi="黑体" w:eastAsia="黑体" w:cs="宋体"/>
          <w:b/>
          <w:bCs/>
          <w:color w:val="auto"/>
          <w:sz w:val="44"/>
          <w:szCs w:val="44"/>
          <w:highlight w:val="none"/>
        </w:rPr>
      </w:pPr>
      <w:r>
        <w:rPr>
          <w:rFonts w:hint="eastAsia" w:ascii="黑体" w:hAnsi="黑体" w:eastAsia="黑体" w:cs="宋体"/>
          <w:b/>
          <w:bCs/>
          <w:color w:val="auto"/>
          <w:sz w:val="44"/>
          <w:szCs w:val="44"/>
          <w:highlight w:val="none"/>
        </w:rPr>
        <w:t>目  录</w:t>
      </w:r>
    </w:p>
    <w:p w14:paraId="5E261241">
      <w:pPr>
        <w:pStyle w:val="21"/>
        <w:tabs>
          <w:tab w:val="right" w:leader="dot" w:pos="10270"/>
        </w:tabs>
        <w:rPr>
          <w:rFonts w:hint="default" w:asciiTheme="minorHAnsi" w:hAnsiTheme="minorHAnsi" w:eastAsiaTheme="minorEastAsia" w:cstheme="minorBidi"/>
          <w:b w:val="0"/>
          <w:bCs w:val="0"/>
          <w:color w:val="auto"/>
          <w:kern w:val="2"/>
          <w:sz w:val="21"/>
          <w:szCs w:val="22"/>
          <w:highlight w:val="none"/>
        </w:rPr>
      </w:pPr>
      <w:r>
        <w:rPr>
          <w:rFonts w:ascii="方正小标宋简体" w:eastAsia="方正小标宋简体" w:cs="宋体"/>
          <w:b/>
          <w:bCs/>
          <w:color w:val="auto"/>
          <w:highlight w:val="none"/>
        </w:rPr>
        <w:fldChar w:fldCharType="begin"/>
      </w:r>
      <w:r>
        <w:rPr>
          <w:rFonts w:ascii="方正小标宋简体" w:eastAsia="方正小标宋简体" w:cs="宋体"/>
          <w:b/>
          <w:bCs/>
          <w:color w:val="auto"/>
          <w:highlight w:val="none"/>
        </w:rPr>
        <w:instrText xml:space="preserve"> TOC \o "1-1" \h \z \u </w:instrText>
      </w:r>
      <w:r>
        <w:rPr>
          <w:rFonts w:ascii="方正小标宋简体" w:eastAsia="方正小标宋简体" w:cs="宋体"/>
          <w:b/>
          <w:bCs/>
          <w:color w:val="auto"/>
          <w:highlight w:val="none"/>
        </w:rPr>
        <w:fldChar w:fldCharType="separate"/>
      </w:r>
      <w:r>
        <w:rPr>
          <w:b w:val="0"/>
          <w:bCs w:val="0"/>
          <w:color w:val="auto"/>
          <w:highlight w:val="none"/>
        </w:rPr>
        <w:fldChar w:fldCharType="begin"/>
      </w:r>
      <w:r>
        <w:rPr>
          <w:b w:val="0"/>
          <w:bCs w:val="0"/>
          <w:color w:val="auto"/>
          <w:highlight w:val="none"/>
        </w:rPr>
        <w:instrText xml:space="preserve"> HYPERLINK \l "_Toc144907419" </w:instrText>
      </w:r>
      <w:r>
        <w:rPr>
          <w:b w:val="0"/>
          <w:bCs w:val="0"/>
          <w:color w:val="auto"/>
          <w:highlight w:val="none"/>
        </w:rPr>
        <w:fldChar w:fldCharType="separate"/>
      </w:r>
      <w:r>
        <w:rPr>
          <w:rStyle w:val="40"/>
          <w:rFonts w:ascii="方正小标宋简体" w:hAnsi="黑体" w:eastAsia="方正小标宋简体" w:cs="仿宋"/>
          <w:b w:val="0"/>
          <w:bCs w:val="0"/>
          <w:color w:val="auto"/>
          <w:highlight w:val="none"/>
        </w:rPr>
        <w:t>第一章 竞争性磋商公告</w:t>
      </w:r>
      <w:r>
        <w:rPr>
          <w:b w:val="0"/>
          <w:bCs w:val="0"/>
          <w:color w:val="auto"/>
          <w:highlight w:val="none"/>
        </w:rPr>
        <w:tab/>
      </w:r>
      <w:r>
        <w:rPr>
          <w:rFonts w:hint="eastAsia"/>
          <w:b w:val="0"/>
          <w:bCs w:val="0"/>
          <w:color w:val="auto"/>
          <w:highlight w:val="none"/>
          <w:lang w:val="en-US" w:eastAsia="zh-CN"/>
        </w:rPr>
        <w:t>1</w:t>
      </w:r>
      <w:r>
        <w:rPr>
          <w:b w:val="0"/>
          <w:bCs w:val="0"/>
          <w:color w:val="auto"/>
          <w:highlight w:val="none"/>
        </w:rPr>
        <w:fldChar w:fldCharType="end"/>
      </w:r>
    </w:p>
    <w:p w14:paraId="3154E501">
      <w:pPr>
        <w:pStyle w:val="21"/>
        <w:tabs>
          <w:tab w:val="right" w:leader="dot" w:pos="10270"/>
        </w:tabs>
        <w:rPr>
          <w:rFonts w:hint="default" w:asciiTheme="minorHAnsi" w:hAnsiTheme="minorHAnsi" w:eastAsiaTheme="minorEastAsia" w:cstheme="minorBidi"/>
          <w:b w:val="0"/>
          <w:bCs w:val="0"/>
          <w:color w:val="auto"/>
          <w:kern w:val="2"/>
          <w:sz w:val="21"/>
          <w:szCs w:val="22"/>
          <w:highlight w:val="none"/>
        </w:rPr>
      </w:pPr>
      <w:r>
        <w:rPr>
          <w:b w:val="0"/>
          <w:bCs w:val="0"/>
          <w:color w:val="auto"/>
          <w:highlight w:val="none"/>
        </w:rPr>
        <w:fldChar w:fldCharType="begin"/>
      </w:r>
      <w:r>
        <w:rPr>
          <w:b w:val="0"/>
          <w:bCs w:val="0"/>
          <w:color w:val="auto"/>
          <w:highlight w:val="none"/>
        </w:rPr>
        <w:instrText xml:space="preserve"> HYPERLINK \l "_Toc144907420" </w:instrText>
      </w:r>
      <w:r>
        <w:rPr>
          <w:b w:val="0"/>
          <w:bCs w:val="0"/>
          <w:color w:val="auto"/>
          <w:highlight w:val="none"/>
        </w:rPr>
        <w:fldChar w:fldCharType="separate"/>
      </w:r>
      <w:r>
        <w:rPr>
          <w:rStyle w:val="40"/>
          <w:rFonts w:ascii="方正小标宋简体" w:hAnsi="黑体" w:eastAsia="方正小标宋简体" w:cs="仿宋"/>
          <w:b w:val="0"/>
          <w:bCs w:val="0"/>
          <w:color w:val="auto"/>
          <w:highlight w:val="none"/>
        </w:rPr>
        <w:t>第二章 供应商须知前附表</w:t>
      </w:r>
      <w:r>
        <w:rPr>
          <w:b w:val="0"/>
          <w:bCs w:val="0"/>
          <w:color w:val="auto"/>
          <w:highlight w:val="none"/>
        </w:rPr>
        <w:tab/>
      </w:r>
      <w:r>
        <w:rPr>
          <w:rFonts w:hint="eastAsia"/>
          <w:b w:val="0"/>
          <w:bCs w:val="0"/>
          <w:color w:val="auto"/>
          <w:highlight w:val="none"/>
          <w:lang w:val="en-US" w:eastAsia="zh-CN"/>
        </w:rPr>
        <w:t>5</w:t>
      </w:r>
      <w:r>
        <w:rPr>
          <w:b w:val="0"/>
          <w:bCs w:val="0"/>
          <w:color w:val="auto"/>
          <w:highlight w:val="none"/>
        </w:rPr>
        <w:fldChar w:fldCharType="end"/>
      </w:r>
    </w:p>
    <w:p w14:paraId="3783CAE1">
      <w:pPr>
        <w:pStyle w:val="21"/>
        <w:tabs>
          <w:tab w:val="right" w:leader="dot" w:pos="10270"/>
        </w:tabs>
        <w:rPr>
          <w:rFonts w:hint="eastAsia" w:eastAsia="宋体" w:asciiTheme="minorHAnsi" w:hAnsiTheme="minorHAnsi" w:cstheme="minorBidi"/>
          <w:b w:val="0"/>
          <w:bCs w:val="0"/>
          <w:color w:val="auto"/>
          <w:kern w:val="2"/>
          <w:sz w:val="21"/>
          <w:szCs w:val="22"/>
          <w:highlight w:val="none"/>
          <w:lang w:val="en-US" w:eastAsia="zh-CN"/>
        </w:rPr>
      </w:pPr>
      <w:r>
        <w:rPr>
          <w:b w:val="0"/>
          <w:bCs w:val="0"/>
          <w:color w:val="auto"/>
          <w:highlight w:val="none"/>
        </w:rPr>
        <w:fldChar w:fldCharType="begin"/>
      </w:r>
      <w:r>
        <w:rPr>
          <w:b w:val="0"/>
          <w:bCs w:val="0"/>
          <w:color w:val="auto"/>
          <w:highlight w:val="none"/>
        </w:rPr>
        <w:instrText xml:space="preserve"> HYPERLINK \l "_Toc144907524" </w:instrText>
      </w:r>
      <w:r>
        <w:rPr>
          <w:b w:val="0"/>
          <w:bCs w:val="0"/>
          <w:color w:val="auto"/>
          <w:highlight w:val="none"/>
        </w:rPr>
        <w:fldChar w:fldCharType="separate"/>
      </w:r>
      <w:r>
        <w:rPr>
          <w:rStyle w:val="40"/>
          <w:rFonts w:ascii="方正小标宋简体" w:hAnsi="黑体" w:eastAsia="方正小标宋简体" w:cs="仿宋"/>
          <w:b w:val="0"/>
          <w:bCs w:val="0"/>
          <w:color w:val="auto"/>
          <w:highlight w:val="none"/>
        </w:rPr>
        <w:t>第三章 供应商须知</w:t>
      </w:r>
      <w:r>
        <w:rPr>
          <w:b w:val="0"/>
          <w:bCs w:val="0"/>
          <w:color w:val="auto"/>
          <w:highlight w:val="none"/>
        </w:rPr>
        <w:tab/>
      </w:r>
      <w:r>
        <w:rPr>
          <w:rFonts w:hint="eastAsia"/>
          <w:b w:val="0"/>
          <w:bCs w:val="0"/>
          <w:color w:val="auto"/>
          <w:highlight w:val="none"/>
          <w:lang w:val="en-US" w:eastAsia="zh-CN"/>
        </w:rPr>
        <w:t>1</w:t>
      </w:r>
      <w:r>
        <w:rPr>
          <w:b w:val="0"/>
          <w:bCs w:val="0"/>
          <w:color w:val="auto"/>
          <w:highlight w:val="none"/>
        </w:rPr>
        <w:fldChar w:fldCharType="end"/>
      </w:r>
      <w:r>
        <w:rPr>
          <w:rFonts w:hint="eastAsia"/>
          <w:b w:val="0"/>
          <w:bCs w:val="0"/>
          <w:color w:val="auto"/>
          <w:highlight w:val="none"/>
          <w:lang w:val="en-US" w:eastAsia="zh-CN"/>
        </w:rPr>
        <w:t>2</w:t>
      </w:r>
    </w:p>
    <w:p w14:paraId="415B65F5">
      <w:pPr>
        <w:pStyle w:val="21"/>
        <w:tabs>
          <w:tab w:val="right" w:leader="dot" w:pos="10270"/>
        </w:tabs>
        <w:rPr>
          <w:rFonts w:hint="eastAsia" w:eastAsia="宋体" w:asciiTheme="minorHAnsi" w:hAnsiTheme="minorHAnsi" w:cstheme="minorBidi"/>
          <w:b w:val="0"/>
          <w:bCs w:val="0"/>
          <w:color w:val="auto"/>
          <w:kern w:val="2"/>
          <w:sz w:val="21"/>
          <w:szCs w:val="22"/>
          <w:highlight w:val="none"/>
          <w:lang w:val="en-US" w:eastAsia="zh-CN"/>
        </w:rPr>
      </w:pPr>
      <w:r>
        <w:rPr>
          <w:b w:val="0"/>
          <w:bCs w:val="0"/>
          <w:color w:val="auto"/>
          <w:highlight w:val="none"/>
        </w:rPr>
        <w:fldChar w:fldCharType="begin"/>
      </w:r>
      <w:r>
        <w:rPr>
          <w:b w:val="0"/>
          <w:bCs w:val="0"/>
          <w:color w:val="auto"/>
          <w:highlight w:val="none"/>
        </w:rPr>
        <w:instrText xml:space="preserve"> HYPERLINK \l "_Toc144907716" </w:instrText>
      </w:r>
      <w:r>
        <w:rPr>
          <w:b w:val="0"/>
          <w:bCs w:val="0"/>
          <w:color w:val="auto"/>
          <w:highlight w:val="none"/>
        </w:rPr>
        <w:fldChar w:fldCharType="separate"/>
      </w:r>
      <w:r>
        <w:rPr>
          <w:rStyle w:val="40"/>
          <w:rFonts w:ascii="方正小标宋简体" w:hAnsi="黑体" w:eastAsia="方正小标宋简体" w:cs="仿宋"/>
          <w:b w:val="0"/>
          <w:bCs w:val="0"/>
          <w:color w:val="auto"/>
          <w:highlight w:val="none"/>
        </w:rPr>
        <w:t>第四章 采购需求</w:t>
      </w:r>
      <w:r>
        <w:rPr>
          <w:b w:val="0"/>
          <w:bCs w:val="0"/>
          <w:color w:val="auto"/>
          <w:highlight w:val="none"/>
        </w:rPr>
        <w:tab/>
      </w:r>
      <w:r>
        <w:rPr>
          <w:rFonts w:hint="eastAsia"/>
          <w:b w:val="0"/>
          <w:bCs w:val="0"/>
          <w:color w:val="auto"/>
          <w:highlight w:val="none"/>
          <w:lang w:val="en-US" w:eastAsia="zh-CN"/>
        </w:rPr>
        <w:t>2</w:t>
      </w:r>
      <w:r>
        <w:rPr>
          <w:b w:val="0"/>
          <w:bCs w:val="0"/>
          <w:color w:val="auto"/>
          <w:highlight w:val="none"/>
        </w:rPr>
        <w:fldChar w:fldCharType="end"/>
      </w:r>
      <w:r>
        <w:rPr>
          <w:rFonts w:hint="eastAsia"/>
          <w:b w:val="0"/>
          <w:bCs w:val="0"/>
          <w:color w:val="auto"/>
          <w:highlight w:val="none"/>
          <w:lang w:val="en-US" w:eastAsia="zh-CN"/>
        </w:rPr>
        <w:t>2</w:t>
      </w:r>
    </w:p>
    <w:p w14:paraId="50B8520D">
      <w:pPr>
        <w:pStyle w:val="21"/>
        <w:tabs>
          <w:tab w:val="right" w:leader="dot" w:pos="10270"/>
        </w:tabs>
        <w:rPr>
          <w:rFonts w:hint="eastAsia" w:eastAsia="宋体" w:asciiTheme="minorHAnsi" w:hAnsiTheme="minorHAnsi" w:cstheme="minorBidi"/>
          <w:b w:val="0"/>
          <w:bCs w:val="0"/>
          <w:color w:val="auto"/>
          <w:kern w:val="2"/>
          <w:sz w:val="21"/>
          <w:szCs w:val="22"/>
          <w:highlight w:val="none"/>
          <w:lang w:val="en-US" w:eastAsia="zh-CN"/>
        </w:rPr>
      </w:pPr>
      <w:r>
        <w:rPr>
          <w:b w:val="0"/>
          <w:bCs w:val="0"/>
          <w:color w:val="auto"/>
          <w:highlight w:val="none"/>
        </w:rPr>
        <w:fldChar w:fldCharType="begin"/>
      </w:r>
      <w:r>
        <w:rPr>
          <w:b w:val="0"/>
          <w:bCs w:val="0"/>
          <w:color w:val="auto"/>
          <w:highlight w:val="none"/>
        </w:rPr>
        <w:instrText xml:space="preserve"> HYPERLINK \l "_Toc144907725" </w:instrText>
      </w:r>
      <w:r>
        <w:rPr>
          <w:b w:val="0"/>
          <w:bCs w:val="0"/>
          <w:color w:val="auto"/>
          <w:highlight w:val="none"/>
        </w:rPr>
        <w:fldChar w:fldCharType="separate"/>
      </w:r>
      <w:r>
        <w:rPr>
          <w:rStyle w:val="40"/>
          <w:rFonts w:ascii="方正小标宋简体" w:hAnsi="黑体" w:eastAsia="方正小标宋简体" w:cs="仿宋"/>
          <w:b w:val="0"/>
          <w:bCs w:val="0"/>
          <w:color w:val="auto"/>
          <w:highlight w:val="none"/>
        </w:rPr>
        <w:t>第五章 评审方法和标准</w:t>
      </w:r>
      <w:r>
        <w:rPr>
          <w:b w:val="0"/>
          <w:bCs w:val="0"/>
          <w:color w:val="auto"/>
          <w:highlight w:val="none"/>
        </w:rPr>
        <w:tab/>
      </w:r>
      <w:r>
        <w:rPr>
          <w:rFonts w:hint="eastAsia"/>
          <w:b w:val="0"/>
          <w:bCs w:val="0"/>
          <w:color w:val="auto"/>
          <w:highlight w:val="none"/>
          <w:lang w:val="en-US" w:eastAsia="zh-CN"/>
        </w:rPr>
        <w:t>2</w:t>
      </w:r>
      <w:r>
        <w:rPr>
          <w:b w:val="0"/>
          <w:bCs w:val="0"/>
          <w:color w:val="auto"/>
          <w:highlight w:val="none"/>
        </w:rPr>
        <w:fldChar w:fldCharType="end"/>
      </w:r>
      <w:r>
        <w:rPr>
          <w:rFonts w:hint="eastAsia"/>
          <w:b w:val="0"/>
          <w:bCs w:val="0"/>
          <w:color w:val="auto"/>
          <w:highlight w:val="none"/>
          <w:lang w:val="en-US" w:eastAsia="zh-CN"/>
        </w:rPr>
        <w:t>4</w:t>
      </w:r>
    </w:p>
    <w:p w14:paraId="238E327F">
      <w:pPr>
        <w:pStyle w:val="21"/>
        <w:tabs>
          <w:tab w:val="right" w:leader="dot" w:pos="10270"/>
        </w:tabs>
        <w:rPr>
          <w:rFonts w:hint="eastAsia" w:eastAsia="宋体" w:asciiTheme="minorHAnsi" w:hAnsiTheme="minorHAnsi" w:cstheme="minorBidi"/>
          <w:b w:val="0"/>
          <w:bCs w:val="0"/>
          <w:color w:val="auto"/>
          <w:kern w:val="2"/>
          <w:sz w:val="21"/>
          <w:szCs w:val="22"/>
          <w:highlight w:val="none"/>
          <w:lang w:val="en-US" w:eastAsia="zh-CN"/>
        </w:rPr>
      </w:pPr>
      <w:r>
        <w:rPr>
          <w:b w:val="0"/>
          <w:bCs w:val="0"/>
          <w:color w:val="auto"/>
          <w:highlight w:val="none"/>
        </w:rPr>
        <w:fldChar w:fldCharType="begin"/>
      </w:r>
      <w:r>
        <w:rPr>
          <w:b w:val="0"/>
          <w:bCs w:val="0"/>
          <w:color w:val="auto"/>
          <w:highlight w:val="none"/>
        </w:rPr>
        <w:instrText xml:space="preserve"> HYPERLINK \l "_Toc144907779" </w:instrText>
      </w:r>
      <w:r>
        <w:rPr>
          <w:b w:val="0"/>
          <w:bCs w:val="0"/>
          <w:color w:val="auto"/>
          <w:highlight w:val="none"/>
        </w:rPr>
        <w:fldChar w:fldCharType="separate"/>
      </w:r>
      <w:r>
        <w:rPr>
          <w:rStyle w:val="40"/>
          <w:rFonts w:ascii="方正小标宋简体" w:hAnsi="黑体" w:eastAsia="方正小标宋简体" w:cs="仿宋"/>
          <w:b w:val="0"/>
          <w:bCs w:val="0"/>
          <w:color w:val="auto"/>
          <w:highlight w:val="none"/>
        </w:rPr>
        <w:t>第六章 政府采购合同</w:t>
      </w:r>
      <w:r>
        <w:rPr>
          <w:b w:val="0"/>
          <w:bCs w:val="0"/>
          <w:color w:val="auto"/>
          <w:highlight w:val="none"/>
        </w:rPr>
        <w:tab/>
      </w:r>
      <w:r>
        <w:rPr>
          <w:rFonts w:hint="eastAsia"/>
          <w:b w:val="0"/>
          <w:bCs w:val="0"/>
          <w:color w:val="auto"/>
          <w:highlight w:val="none"/>
          <w:lang w:val="en-US" w:eastAsia="zh-CN"/>
        </w:rPr>
        <w:t>3</w:t>
      </w:r>
      <w:r>
        <w:rPr>
          <w:b w:val="0"/>
          <w:bCs w:val="0"/>
          <w:color w:val="auto"/>
          <w:highlight w:val="none"/>
        </w:rPr>
        <w:fldChar w:fldCharType="end"/>
      </w:r>
      <w:r>
        <w:rPr>
          <w:rFonts w:hint="eastAsia"/>
          <w:b w:val="0"/>
          <w:bCs w:val="0"/>
          <w:color w:val="auto"/>
          <w:highlight w:val="none"/>
          <w:lang w:val="en-US" w:eastAsia="zh-CN"/>
        </w:rPr>
        <w:t>1</w:t>
      </w:r>
    </w:p>
    <w:p w14:paraId="43FE1C23">
      <w:pPr>
        <w:pStyle w:val="21"/>
        <w:tabs>
          <w:tab w:val="right" w:leader="dot" w:pos="10270"/>
        </w:tabs>
        <w:rPr>
          <w:rFonts w:hint="default"/>
          <w:b w:val="0"/>
          <w:bCs w:val="0"/>
        </w:rPr>
      </w:pPr>
      <w:r>
        <w:rPr>
          <w:b w:val="0"/>
          <w:bCs w:val="0"/>
          <w:color w:val="auto"/>
          <w:highlight w:val="none"/>
        </w:rPr>
        <w:fldChar w:fldCharType="begin"/>
      </w:r>
      <w:r>
        <w:rPr>
          <w:b w:val="0"/>
          <w:bCs w:val="0"/>
          <w:color w:val="auto"/>
          <w:highlight w:val="none"/>
        </w:rPr>
        <w:instrText xml:space="preserve"> HYPERLINK \l "_Toc144907780" </w:instrText>
      </w:r>
      <w:r>
        <w:rPr>
          <w:b w:val="0"/>
          <w:bCs w:val="0"/>
          <w:color w:val="auto"/>
          <w:highlight w:val="none"/>
        </w:rPr>
        <w:fldChar w:fldCharType="separate"/>
      </w:r>
      <w:r>
        <w:rPr>
          <w:rStyle w:val="40"/>
          <w:rFonts w:ascii="方正小标宋简体" w:hAnsi="仿宋" w:eastAsia="方正小标宋简体" w:cs="仿宋"/>
          <w:b w:val="0"/>
          <w:bCs w:val="0"/>
          <w:color w:val="auto"/>
          <w:highlight w:val="none"/>
        </w:rPr>
        <w:t>第七章 磋商响应文件格式</w:t>
      </w:r>
      <w:r>
        <w:rPr>
          <w:b w:val="0"/>
          <w:bCs w:val="0"/>
          <w:color w:val="auto"/>
          <w:highlight w:val="none"/>
        </w:rPr>
        <w:tab/>
      </w:r>
      <w:r>
        <w:rPr>
          <w:b w:val="0"/>
          <w:bCs w:val="0"/>
          <w:color w:val="auto"/>
          <w:highlight w:val="none"/>
        </w:rPr>
        <w:fldChar w:fldCharType="begin"/>
      </w:r>
      <w:r>
        <w:rPr>
          <w:b w:val="0"/>
          <w:bCs w:val="0"/>
          <w:color w:val="auto"/>
          <w:highlight w:val="none"/>
        </w:rPr>
        <w:instrText xml:space="preserve"> PAGEREF _Toc144907780 \h </w:instrText>
      </w:r>
      <w:r>
        <w:rPr>
          <w:b w:val="0"/>
          <w:bCs w:val="0"/>
          <w:color w:val="auto"/>
          <w:highlight w:val="none"/>
        </w:rPr>
        <w:fldChar w:fldCharType="separate"/>
      </w:r>
      <w:r>
        <w:rPr>
          <w:b w:val="0"/>
          <w:bCs w:val="0"/>
          <w:color w:val="auto"/>
          <w:highlight w:val="none"/>
        </w:rPr>
        <w:t>3</w:t>
      </w:r>
      <w:r>
        <w:rPr>
          <w:rFonts w:hint="eastAsia"/>
          <w:b w:val="0"/>
          <w:bCs w:val="0"/>
          <w:color w:val="auto"/>
          <w:highlight w:val="none"/>
          <w:lang w:val="en-US" w:eastAsia="zh-CN"/>
        </w:rPr>
        <w:t>4</w:t>
      </w:r>
      <w:r>
        <w:rPr>
          <w:b w:val="0"/>
          <w:bCs w:val="0"/>
          <w:color w:val="auto"/>
          <w:highlight w:val="none"/>
        </w:rPr>
        <w:fldChar w:fldCharType="end"/>
      </w:r>
      <w:r>
        <w:rPr>
          <w:b w:val="0"/>
          <w:bCs w:val="0"/>
          <w:color w:val="auto"/>
          <w:highlight w:val="none"/>
        </w:rPr>
        <w:fldChar w:fldCharType="end"/>
      </w:r>
    </w:p>
    <w:p w14:paraId="7EF9F766">
      <w:pPr>
        <w:pStyle w:val="21"/>
        <w:tabs>
          <w:tab w:val="right" w:leader="dot" w:pos="10270"/>
        </w:tabs>
        <w:rPr>
          <w:rFonts w:hint="default" w:asciiTheme="minorHAnsi" w:hAnsiTheme="minorHAnsi" w:eastAsiaTheme="minorEastAsia" w:cstheme="minorBidi"/>
          <w:color w:val="auto"/>
          <w:kern w:val="2"/>
          <w:sz w:val="21"/>
          <w:szCs w:val="22"/>
          <w:highlight w:val="none"/>
        </w:rPr>
      </w:pPr>
      <w:r>
        <w:rPr>
          <w:b w:val="0"/>
          <w:bCs w:val="0"/>
          <w:color w:val="auto"/>
          <w:highlight w:val="none"/>
        </w:rPr>
        <w:fldChar w:fldCharType="begin"/>
      </w:r>
      <w:r>
        <w:rPr>
          <w:b w:val="0"/>
          <w:bCs w:val="0"/>
          <w:color w:val="auto"/>
          <w:highlight w:val="none"/>
        </w:rPr>
        <w:instrText xml:space="preserve"> HYPERLINK \l "_Toc144907781" </w:instrText>
      </w:r>
      <w:r>
        <w:rPr>
          <w:b w:val="0"/>
          <w:bCs w:val="0"/>
          <w:color w:val="auto"/>
          <w:highlight w:val="none"/>
        </w:rPr>
        <w:fldChar w:fldCharType="separate"/>
      </w:r>
      <w:r>
        <w:rPr>
          <w:rStyle w:val="40"/>
          <w:rFonts w:ascii="方正小标宋简体" w:hAnsi="仿宋" w:eastAsia="方正小标宋简体" w:cs="仿宋"/>
          <w:b w:val="0"/>
          <w:bCs w:val="0"/>
          <w:color w:val="auto"/>
          <w:highlight w:val="none"/>
        </w:rPr>
        <w:t>第八章 最终报价或第   次报价表</w:t>
      </w:r>
      <w:r>
        <w:rPr>
          <w:b w:val="0"/>
          <w:bCs w:val="0"/>
          <w:color w:val="auto"/>
          <w:highlight w:val="none"/>
        </w:rPr>
        <w:tab/>
      </w:r>
      <w:r>
        <w:rPr>
          <w:b w:val="0"/>
          <w:bCs w:val="0"/>
          <w:color w:val="auto"/>
          <w:highlight w:val="none"/>
        </w:rPr>
        <w:t>4</w:t>
      </w:r>
      <w:r>
        <w:rPr>
          <w:b w:val="0"/>
          <w:bCs w:val="0"/>
          <w:color w:val="auto"/>
          <w:highlight w:val="none"/>
        </w:rPr>
        <w:fldChar w:fldCharType="end"/>
      </w:r>
      <w:r>
        <w:rPr>
          <w:b w:val="0"/>
          <w:bCs w:val="0"/>
          <w:color w:val="auto"/>
          <w:highlight w:val="none"/>
        </w:rPr>
        <w:t>3</w:t>
      </w:r>
    </w:p>
    <w:p w14:paraId="34081DD8">
      <w:pPr>
        <w:pStyle w:val="48"/>
        <w:spacing w:after="0"/>
        <w:jc w:val="center"/>
        <w:rPr>
          <w:rFonts w:ascii="方正小标宋简体" w:eastAsia="方正小标宋简体" w:cs="宋体"/>
          <w:b/>
          <w:bCs/>
          <w:color w:val="auto"/>
          <w:highlight w:val="none"/>
        </w:rPr>
        <w:sectPr>
          <w:pgSz w:w="11910" w:h="16850"/>
          <w:pgMar w:top="1247" w:right="1134" w:bottom="1134" w:left="1134" w:header="720" w:footer="510" w:gutter="0"/>
          <w:pgBorders>
            <w:top w:val="none" w:sz="0" w:space="0"/>
            <w:left w:val="none" w:sz="0" w:space="0"/>
            <w:bottom w:val="none" w:sz="0" w:space="0"/>
            <w:right w:val="none" w:sz="0" w:space="0"/>
          </w:pgBorders>
          <w:pgNumType w:start="1"/>
          <w:cols w:space="425" w:num="1"/>
          <w:docGrid w:type="lines" w:linePitch="312" w:charSpace="0"/>
        </w:sectPr>
      </w:pPr>
      <w:r>
        <w:rPr>
          <w:rFonts w:ascii="方正小标宋简体" w:eastAsia="方正小标宋简体" w:cs="宋体"/>
          <w:b/>
          <w:bCs/>
          <w:color w:val="auto"/>
          <w:highlight w:val="none"/>
        </w:rPr>
        <w:fldChar w:fldCharType="end"/>
      </w:r>
    </w:p>
    <w:p w14:paraId="48F5DE1D">
      <w:pPr>
        <w:pStyle w:val="48"/>
        <w:spacing w:after="0"/>
        <w:jc w:val="center"/>
        <w:rPr>
          <w:rStyle w:val="50"/>
          <w:rFonts w:hint="default" w:ascii="方正小标宋简体" w:hAnsi="黑体" w:eastAsia="方正小标宋简体" w:cs="仿宋"/>
          <w:b w:val="0"/>
          <w:color w:val="auto"/>
          <w:sz w:val="44"/>
          <w:szCs w:val="44"/>
          <w:highlight w:val="none"/>
        </w:rPr>
      </w:pPr>
      <w:r>
        <w:rPr>
          <w:rStyle w:val="50"/>
          <w:rFonts w:hint="default" w:ascii="方正小标宋简体" w:hAnsi="黑体" w:eastAsia="方正小标宋简体" w:cs="仿宋"/>
          <w:b w:val="0"/>
          <w:color w:val="auto"/>
          <w:sz w:val="44"/>
          <w:szCs w:val="44"/>
          <w:highlight w:val="none"/>
        </w:rPr>
        <w:t>第一章 竞争性磋商公告</w:t>
      </w:r>
      <w:bookmarkEnd w:id="3"/>
    </w:p>
    <w:bookmarkEnd w:id="4"/>
    <w:p w14:paraId="4C69849A">
      <w:pPr>
        <w:keepNext w:val="0"/>
        <w:keepLines w:val="0"/>
        <w:pageBreakBefore w:val="0"/>
        <w:overflowPunct/>
        <w:bidi w:val="0"/>
        <w:adjustRightInd/>
        <w:snapToGrid/>
        <w:spacing w:before="157" w:beforeLines="50" w:after="157" w:afterLines="50" w:line="240" w:lineRule="auto"/>
        <w:jc w:val="center"/>
        <w:rPr>
          <w:rFonts w:hint="eastAsia" w:ascii="宋体" w:hAnsi="宋体" w:eastAsia="宋体" w:cs="宋体"/>
          <w:b/>
          <w:bCs/>
          <w:snapToGrid/>
          <w:color w:val="000000"/>
          <w:sz w:val="36"/>
          <w:szCs w:val="36"/>
          <w:highlight w:val="none"/>
          <w:lang w:val="en-US" w:eastAsia="zh-CN"/>
        </w:rPr>
      </w:pPr>
      <w:bookmarkStart w:id="5" w:name="第一章__磋商公告"/>
      <w:bookmarkEnd w:id="5"/>
      <w:bookmarkStart w:id="6" w:name="_bookmark0"/>
      <w:bookmarkEnd w:id="6"/>
      <w:bookmarkStart w:id="7" w:name="_Toc35393797"/>
      <w:bookmarkStart w:id="8" w:name="_Toc28359011"/>
      <w:bookmarkStart w:id="9" w:name="_Toc18025"/>
      <w:r>
        <w:rPr>
          <w:rFonts w:hint="eastAsia" w:ascii="宋体" w:hAnsi="宋体" w:eastAsia="宋体" w:cs="宋体"/>
          <w:b/>
          <w:bCs/>
          <w:snapToGrid/>
          <w:color w:val="000000"/>
          <w:sz w:val="36"/>
          <w:szCs w:val="36"/>
          <w:highlight w:val="none"/>
          <w:lang w:val="en-US" w:eastAsia="zh-CN"/>
        </w:rPr>
        <w:t>淮南牛肉汤检验检测中心、检验检测设备更新、食品安全监管基础设施建设项目前期咨询服务（一次）竞争性磋商公告</w:t>
      </w:r>
    </w:p>
    <w:bookmarkEnd w:id="7"/>
    <w:bookmarkEnd w:id="8"/>
    <w:p w14:paraId="2AF876B7">
      <w:pPr>
        <w:pStyle w:val="6"/>
        <w:keepNext w:val="0"/>
        <w:keepLines w:val="0"/>
        <w:pageBreakBefore w:val="0"/>
        <w:overflowPunct/>
        <w:bidi w:val="0"/>
        <w:adjustRightInd/>
        <w:snapToGrid/>
        <w:spacing w:before="157" w:beforeLines="50" w:after="157" w:afterLines="50" w:line="240" w:lineRule="auto"/>
        <w:ind w:firstLine="0"/>
        <w:rPr>
          <w:rFonts w:hint="eastAsia" w:ascii="黑体" w:hAnsi="黑体" w:eastAsia="黑体" w:cs="黑体"/>
          <w:snapToGrid/>
          <w:color w:val="000000"/>
          <w:sz w:val="28"/>
          <w:szCs w:val="28"/>
        </w:rPr>
      </w:pPr>
      <w:bookmarkStart w:id="10" w:name="_Toc35393804"/>
      <w:bookmarkStart w:id="11" w:name="_Toc35393635"/>
    </w:p>
    <w:p w14:paraId="696A0A09">
      <w:pPr>
        <w:pStyle w:val="6"/>
        <w:keepNext w:val="0"/>
        <w:keepLines w:val="0"/>
        <w:pageBreakBefore w:val="0"/>
        <w:overflowPunct/>
        <w:bidi w:val="0"/>
        <w:adjustRightInd/>
        <w:snapToGrid/>
        <w:spacing w:before="157" w:beforeLines="50" w:after="157" w:afterLines="50" w:line="240" w:lineRule="auto"/>
        <w:ind w:firstLine="0"/>
        <w:rPr>
          <w:rFonts w:ascii="黑体" w:hAnsi="黑体" w:eastAsia="黑体" w:cs="黑体"/>
          <w:snapToGrid/>
          <w:color w:val="000000"/>
          <w:sz w:val="28"/>
          <w:szCs w:val="28"/>
        </w:rPr>
      </w:pPr>
      <w:r>
        <w:rPr>
          <w:rFonts w:hint="eastAsia" w:ascii="黑体" w:hAnsi="黑体" w:eastAsia="黑体" w:cs="黑体"/>
          <w:snapToGrid/>
          <w:color w:val="000000"/>
          <w:sz w:val="28"/>
          <w:szCs w:val="28"/>
        </w:rPr>
        <w:t>项目概况</w:t>
      </w:r>
    </w:p>
    <w:p w14:paraId="2B228048">
      <w:pPr>
        <w:keepNext w:val="0"/>
        <w:keepLines w:val="0"/>
        <w:pageBreakBefore w:val="0"/>
        <w:overflowPunct/>
        <w:bidi w:val="0"/>
        <w:adjustRightInd/>
        <w:snapToGrid/>
        <w:spacing w:before="157" w:beforeLines="50" w:after="157" w:afterLines="50" w:line="240" w:lineRule="auto"/>
        <w:ind w:firstLine="560" w:firstLineChars="200"/>
        <w:rPr>
          <w:rFonts w:hint="eastAsia" w:ascii="仿宋" w:hAnsi="仿宋" w:eastAsia="仿宋" w:cs="仿宋"/>
          <w:snapToGrid/>
          <w:color w:val="000000"/>
          <w:kern w:val="0"/>
          <w:sz w:val="28"/>
          <w:szCs w:val="28"/>
          <w:u w:val="single"/>
        </w:rPr>
      </w:pPr>
      <w:bookmarkStart w:id="12" w:name="_Toc28359089"/>
      <w:bookmarkStart w:id="13" w:name="_Toc35393629"/>
      <w:bookmarkStart w:id="14" w:name="_Toc35393798"/>
      <w:bookmarkStart w:id="15" w:name="_Toc28359012"/>
      <w:r>
        <w:rPr>
          <w:rFonts w:hint="eastAsia" w:ascii="仿宋" w:hAnsi="仿宋" w:eastAsia="仿宋" w:cs="仿宋"/>
          <w:snapToGrid/>
          <w:color w:val="000000"/>
          <w:kern w:val="0"/>
          <w:sz w:val="28"/>
          <w:szCs w:val="28"/>
          <w:u w:val="single"/>
          <w:shd w:val="clear" w:color="auto" w:fill="FFFFFF"/>
          <w:lang w:eastAsia="zh-CN"/>
        </w:rPr>
        <w:t>淮南牛肉汤检验检测中心、检验检测设备更新、食品安全监管基础设施建设项目前期咨询服务</w:t>
      </w:r>
      <w:r>
        <w:rPr>
          <w:rFonts w:hint="eastAsia" w:ascii="仿宋" w:hAnsi="仿宋" w:eastAsia="仿宋" w:cs="仿宋"/>
          <w:snapToGrid/>
          <w:color w:val="000000"/>
          <w:kern w:val="0"/>
          <w:sz w:val="28"/>
          <w:szCs w:val="28"/>
          <w:shd w:val="clear" w:color="auto" w:fill="FFFFFF"/>
        </w:rPr>
        <w:t>的潜在供应商应在</w:t>
      </w:r>
      <w:r>
        <w:rPr>
          <w:rFonts w:hint="eastAsia" w:ascii="仿宋" w:hAnsi="仿宋" w:eastAsia="仿宋" w:cs="仿宋"/>
          <w:snapToGrid/>
          <w:color w:val="000000"/>
          <w:kern w:val="0"/>
          <w:sz w:val="28"/>
          <w:szCs w:val="28"/>
          <w:u w:val="single"/>
          <w:shd w:val="clear" w:color="auto" w:fill="FFFFFF"/>
          <w:lang w:val="en-US" w:eastAsia="zh-CN"/>
        </w:rPr>
        <w:t>安徽踏川建设咨询有限公司</w:t>
      </w:r>
      <w:r>
        <w:rPr>
          <w:rFonts w:hint="eastAsia" w:ascii="仿宋" w:hAnsi="仿宋" w:eastAsia="仿宋" w:cs="仿宋"/>
          <w:snapToGrid/>
          <w:color w:val="000000"/>
          <w:kern w:val="0"/>
          <w:sz w:val="28"/>
          <w:szCs w:val="28"/>
          <w:shd w:val="clear" w:color="auto" w:fill="FFFFFF"/>
        </w:rPr>
        <w:t>获取采购文件，并</w:t>
      </w:r>
      <w:r>
        <w:rPr>
          <w:rFonts w:hint="eastAsia" w:ascii="仿宋" w:hAnsi="仿宋" w:eastAsia="仿宋" w:cs="仿宋"/>
          <w:snapToGrid/>
          <w:color w:val="000000"/>
          <w:kern w:val="0"/>
          <w:sz w:val="28"/>
          <w:szCs w:val="28"/>
          <w:highlight w:val="none"/>
          <w:shd w:val="clear" w:color="auto" w:fill="FFFFFF"/>
        </w:rPr>
        <w:t>于</w:t>
      </w:r>
      <w:r>
        <w:rPr>
          <w:rFonts w:hint="eastAsia" w:ascii="仿宋" w:hAnsi="仿宋" w:eastAsia="仿宋" w:cs="仿宋"/>
          <w:snapToGrid/>
          <w:color w:val="auto"/>
          <w:kern w:val="0"/>
          <w:sz w:val="28"/>
          <w:szCs w:val="28"/>
          <w:highlight w:val="none"/>
          <w:u w:val="single"/>
          <w:shd w:val="clear" w:color="auto" w:fill="FFFFFF"/>
        </w:rPr>
        <w:t>202</w:t>
      </w:r>
      <w:r>
        <w:rPr>
          <w:rFonts w:hint="eastAsia" w:ascii="仿宋" w:hAnsi="仿宋" w:eastAsia="仿宋" w:cs="仿宋"/>
          <w:snapToGrid/>
          <w:color w:val="auto"/>
          <w:kern w:val="0"/>
          <w:sz w:val="28"/>
          <w:szCs w:val="28"/>
          <w:highlight w:val="none"/>
          <w:u w:val="single"/>
          <w:shd w:val="clear" w:color="auto" w:fill="FFFFFF"/>
          <w:lang w:val="en-US" w:eastAsia="zh-CN"/>
        </w:rPr>
        <w:t>6</w:t>
      </w:r>
      <w:r>
        <w:rPr>
          <w:rFonts w:hint="eastAsia" w:ascii="仿宋" w:hAnsi="仿宋" w:eastAsia="仿宋" w:cs="仿宋"/>
          <w:snapToGrid/>
          <w:color w:val="auto"/>
          <w:kern w:val="0"/>
          <w:sz w:val="28"/>
          <w:szCs w:val="28"/>
          <w:highlight w:val="none"/>
          <w:u w:val="single"/>
          <w:shd w:val="clear" w:color="auto" w:fill="FFFFFF"/>
        </w:rPr>
        <w:t>年</w:t>
      </w:r>
      <w:r>
        <w:rPr>
          <w:rFonts w:hint="eastAsia" w:ascii="仿宋" w:hAnsi="仿宋" w:eastAsia="仿宋" w:cs="仿宋"/>
          <w:snapToGrid/>
          <w:color w:val="auto"/>
          <w:kern w:val="0"/>
          <w:sz w:val="28"/>
          <w:szCs w:val="28"/>
          <w:highlight w:val="none"/>
          <w:u w:val="single"/>
          <w:shd w:val="clear" w:color="auto" w:fill="FFFFFF"/>
          <w:lang w:val="en-US" w:eastAsia="zh-CN"/>
        </w:rPr>
        <w:t>9</w:t>
      </w:r>
      <w:r>
        <w:rPr>
          <w:rFonts w:hint="eastAsia" w:ascii="仿宋" w:hAnsi="仿宋" w:eastAsia="仿宋" w:cs="仿宋"/>
          <w:snapToGrid/>
          <w:color w:val="auto"/>
          <w:kern w:val="0"/>
          <w:sz w:val="28"/>
          <w:szCs w:val="28"/>
          <w:highlight w:val="none"/>
          <w:u w:val="single"/>
          <w:shd w:val="clear" w:color="auto" w:fill="FFFFFF"/>
          <w:lang w:eastAsia="zh-CN"/>
        </w:rPr>
        <w:t>月</w:t>
      </w:r>
      <w:r>
        <w:rPr>
          <w:rFonts w:hint="eastAsia" w:ascii="仿宋" w:hAnsi="仿宋" w:eastAsia="仿宋" w:cs="仿宋"/>
          <w:snapToGrid/>
          <w:color w:val="auto"/>
          <w:kern w:val="0"/>
          <w:sz w:val="28"/>
          <w:szCs w:val="28"/>
          <w:highlight w:val="none"/>
          <w:u w:val="single"/>
          <w:shd w:val="clear" w:color="auto" w:fill="FFFFFF"/>
          <w:lang w:val="en-US" w:eastAsia="zh-CN"/>
        </w:rPr>
        <w:t>28</w:t>
      </w:r>
      <w:r>
        <w:rPr>
          <w:rFonts w:hint="eastAsia" w:ascii="仿宋" w:hAnsi="仿宋" w:eastAsia="仿宋" w:cs="仿宋"/>
          <w:snapToGrid/>
          <w:color w:val="auto"/>
          <w:kern w:val="0"/>
          <w:sz w:val="28"/>
          <w:szCs w:val="28"/>
          <w:highlight w:val="none"/>
          <w:u w:val="single"/>
          <w:shd w:val="clear" w:color="auto" w:fill="FFFFFF"/>
          <w:lang w:eastAsia="zh-CN"/>
        </w:rPr>
        <w:t>日</w:t>
      </w:r>
      <w:r>
        <w:rPr>
          <w:rFonts w:hint="eastAsia" w:ascii="仿宋" w:hAnsi="仿宋" w:eastAsia="仿宋" w:cs="仿宋"/>
          <w:snapToGrid/>
          <w:color w:val="auto"/>
          <w:kern w:val="0"/>
          <w:sz w:val="28"/>
          <w:szCs w:val="28"/>
          <w:highlight w:val="none"/>
          <w:u w:val="single"/>
          <w:shd w:val="clear" w:color="auto" w:fill="FFFFFF"/>
          <w:lang w:val="en-US" w:eastAsia="zh-CN"/>
        </w:rPr>
        <w:t>15</w:t>
      </w:r>
      <w:r>
        <w:rPr>
          <w:rFonts w:hint="eastAsia" w:ascii="仿宋" w:hAnsi="仿宋" w:eastAsia="仿宋" w:cs="仿宋"/>
          <w:snapToGrid/>
          <w:color w:val="auto"/>
          <w:kern w:val="0"/>
          <w:sz w:val="28"/>
          <w:szCs w:val="28"/>
          <w:highlight w:val="none"/>
          <w:u w:val="single"/>
          <w:shd w:val="clear" w:color="auto" w:fill="FFFFFF"/>
          <w:lang w:eastAsia="zh-CN"/>
        </w:rPr>
        <w:t>点</w:t>
      </w:r>
      <w:r>
        <w:rPr>
          <w:rFonts w:hint="eastAsia" w:ascii="仿宋" w:hAnsi="仿宋" w:eastAsia="仿宋" w:cs="仿宋"/>
          <w:snapToGrid/>
          <w:color w:val="auto"/>
          <w:kern w:val="0"/>
          <w:sz w:val="28"/>
          <w:szCs w:val="28"/>
          <w:highlight w:val="none"/>
          <w:u w:val="single"/>
          <w:shd w:val="clear" w:color="auto" w:fill="FFFFFF"/>
        </w:rPr>
        <w:t>00分</w:t>
      </w:r>
      <w:r>
        <w:rPr>
          <w:rFonts w:hint="eastAsia" w:ascii="仿宋" w:hAnsi="仿宋" w:eastAsia="仿宋" w:cs="仿宋"/>
          <w:snapToGrid/>
          <w:color w:val="000000" w:themeColor="text1"/>
          <w:kern w:val="0"/>
          <w:sz w:val="28"/>
          <w:szCs w:val="28"/>
          <w:highlight w:val="none"/>
          <w:shd w:val="clear" w:color="auto" w:fill="FFFFFF"/>
          <w14:textFill>
            <w14:solidFill>
              <w14:schemeClr w14:val="tx1"/>
            </w14:solidFill>
          </w14:textFill>
        </w:rPr>
        <w:t>（</w:t>
      </w:r>
      <w:r>
        <w:rPr>
          <w:rFonts w:hint="eastAsia" w:ascii="仿宋" w:hAnsi="仿宋" w:eastAsia="仿宋" w:cs="仿宋"/>
          <w:snapToGrid/>
          <w:color w:val="000000" w:themeColor="text1"/>
          <w:kern w:val="0"/>
          <w:sz w:val="28"/>
          <w:szCs w:val="28"/>
          <w:shd w:val="clear" w:color="auto" w:fill="FFFFFF"/>
          <w14:textFill>
            <w14:solidFill>
              <w14:schemeClr w14:val="tx1"/>
            </w14:solidFill>
          </w14:textFill>
        </w:rPr>
        <w:t>北</w:t>
      </w:r>
      <w:r>
        <w:rPr>
          <w:rFonts w:hint="eastAsia" w:ascii="仿宋" w:hAnsi="仿宋" w:eastAsia="仿宋" w:cs="仿宋"/>
          <w:snapToGrid/>
          <w:color w:val="000000"/>
          <w:kern w:val="0"/>
          <w:sz w:val="28"/>
          <w:szCs w:val="28"/>
          <w:shd w:val="clear" w:color="auto" w:fill="FFFFFF"/>
        </w:rPr>
        <w:t>京时间）前提交响应文件。</w:t>
      </w:r>
    </w:p>
    <w:p w14:paraId="3C351B19">
      <w:pPr>
        <w:keepNext w:val="0"/>
        <w:keepLines w:val="0"/>
        <w:pageBreakBefore w:val="0"/>
        <w:wordWrap w:val="0"/>
        <w:overflowPunct/>
        <w:bidi w:val="0"/>
        <w:adjustRightInd/>
        <w:snapToGrid/>
        <w:spacing w:before="157" w:beforeLines="50" w:after="157" w:afterLines="50" w:line="240" w:lineRule="auto"/>
        <w:rPr>
          <w:rFonts w:hint="eastAsia" w:ascii="黑体" w:hAnsi="黑体" w:eastAsia="黑体" w:cs="黑体"/>
          <w:snapToGrid/>
          <w:color w:val="000000"/>
          <w:kern w:val="0"/>
          <w:sz w:val="28"/>
          <w:szCs w:val="28"/>
        </w:rPr>
      </w:pPr>
      <w:r>
        <w:rPr>
          <w:rFonts w:hint="eastAsia" w:ascii="黑体" w:hAnsi="黑体" w:eastAsia="黑体" w:cs="黑体"/>
          <w:snapToGrid/>
          <w:color w:val="000000"/>
          <w:kern w:val="0"/>
          <w:sz w:val="28"/>
          <w:szCs w:val="28"/>
        </w:rPr>
        <w:t>一、项目基本情况</w:t>
      </w:r>
      <w:bookmarkEnd w:id="12"/>
      <w:bookmarkEnd w:id="13"/>
      <w:bookmarkEnd w:id="14"/>
      <w:bookmarkEnd w:id="15"/>
    </w:p>
    <w:p w14:paraId="1EFCF5BD">
      <w:pPr>
        <w:keepNext w:val="0"/>
        <w:keepLines w:val="0"/>
        <w:pageBreakBefore w:val="0"/>
        <w:overflowPunct/>
        <w:bidi w:val="0"/>
        <w:adjustRightInd/>
        <w:snapToGrid/>
        <w:spacing w:before="157" w:beforeLines="50" w:after="157" w:afterLines="50" w:line="240" w:lineRule="auto"/>
        <w:ind w:firstLine="560" w:firstLineChars="200"/>
        <w:rPr>
          <w:rFonts w:hint="eastAsia" w:ascii="仿宋" w:hAnsi="仿宋" w:eastAsia="仿宋" w:cs="仿宋"/>
          <w:snapToGrid/>
          <w:color w:val="000000"/>
          <w:kern w:val="0"/>
          <w:sz w:val="28"/>
          <w:szCs w:val="28"/>
          <w:lang w:eastAsia="zh-CN"/>
        </w:rPr>
      </w:pPr>
      <w:r>
        <w:rPr>
          <w:rFonts w:hint="eastAsia" w:ascii="仿宋" w:hAnsi="仿宋" w:eastAsia="仿宋" w:cs="仿宋"/>
          <w:snapToGrid/>
          <w:color w:val="000000"/>
          <w:kern w:val="0"/>
          <w:sz w:val="28"/>
          <w:szCs w:val="28"/>
        </w:rPr>
        <w:t>项目编号：</w:t>
      </w:r>
      <w:r>
        <w:rPr>
          <w:rFonts w:hint="eastAsia" w:ascii="仿宋" w:hAnsi="仿宋" w:eastAsia="仿宋" w:cs="仿宋"/>
          <w:snapToGrid/>
          <w:color w:val="000000"/>
          <w:kern w:val="0"/>
          <w:sz w:val="28"/>
          <w:szCs w:val="28"/>
          <w:lang w:eastAsia="zh-CN"/>
        </w:rPr>
        <w:t>AHTC-20260902</w:t>
      </w:r>
    </w:p>
    <w:p w14:paraId="766596A0">
      <w:pPr>
        <w:keepNext w:val="0"/>
        <w:keepLines w:val="0"/>
        <w:pageBreakBefore w:val="0"/>
        <w:overflowPunct/>
        <w:bidi w:val="0"/>
        <w:adjustRightInd/>
        <w:snapToGrid/>
        <w:spacing w:before="157" w:beforeLines="50" w:after="157" w:afterLines="50" w:line="240" w:lineRule="auto"/>
        <w:ind w:firstLine="560" w:firstLineChars="200"/>
        <w:rPr>
          <w:rFonts w:hint="eastAsia" w:ascii="仿宋" w:hAnsi="仿宋" w:eastAsia="仿宋" w:cs="仿宋"/>
          <w:snapToGrid/>
          <w:color w:val="000000"/>
          <w:kern w:val="0"/>
          <w:sz w:val="28"/>
          <w:szCs w:val="28"/>
          <w:highlight w:val="none"/>
          <w:lang w:eastAsia="zh-CN"/>
        </w:rPr>
      </w:pPr>
      <w:r>
        <w:rPr>
          <w:rFonts w:hint="eastAsia" w:ascii="仿宋" w:hAnsi="仿宋" w:eastAsia="仿宋" w:cs="仿宋"/>
          <w:snapToGrid/>
          <w:color w:val="000000"/>
          <w:kern w:val="0"/>
          <w:sz w:val="28"/>
          <w:szCs w:val="28"/>
          <w:highlight w:val="none"/>
        </w:rPr>
        <w:t>项目名称：</w:t>
      </w:r>
      <w:r>
        <w:rPr>
          <w:rFonts w:hint="eastAsia" w:ascii="仿宋" w:hAnsi="仿宋" w:eastAsia="仿宋" w:cs="仿宋"/>
          <w:snapToGrid/>
          <w:color w:val="000000"/>
          <w:kern w:val="0"/>
          <w:sz w:val="28"/>
          <w:szCs w:val="28"/>
          <w:highlight w:val="none"/>
          <w:lang w:eastAsia="zh-CN"/>
        </w:rPr>
        <w:t>淮南牛肉汤检验检测中心、检验检测设备更新、食品安全监管基础设施建设项目前期咨询服务</w:t>
      </w:r>
    </w:p>
    <w:p w14:paraId="7EDC0169">
      <w:pPr>
        <w:keepNext w:val="0"/>
        <w:keepLines w:val="0"/>
        <w:pageBreakBefore w:val="0"/>
        <w:tabs>
          <w:tab w:val="left" w:pos="6273"/>
        </w:tabs>
        <w:overflowPunct/>
        <w:bidi w:val="0"/>
        <w:adjustRightInd/>
        <w:snapToGrid/>
        <w:spacing w:before="157" w:beforeLines="50" w:after="157" w:afterLines="50" w:line="240" w:lineRule="auto"/>
        <w:ind w:firstLine="560" w:firstLineChars="200"/>
        <w:rPr>
          <w:rFonts w:hint="eastAsia" w:ascii="仿宋" w:hAnsi="仿宋" w:eastAsia="仿宋" w:cs="仿宋"/>
          <w:snapToGrid/>
          <w:color w:val="000000" w:themeColor="text1"/>
          <w:kern w:val="0"/>
          <w:sz w:val="28"/>
          <w:szCs w:val="28"/>
          <w:highlight w:val="none"/>
          <w:lang w:eastAsia="zh-CN"/>
          <w14:textFill>
            <w14:solidFill>
              <w14:schemeClr w14:val="tx1"/>
            </w14:solidFill>
          </w14:textFill>
        </w:rPr>
      </w:pPr>
      <w:r>
        <w:rPr>
          <w:rFonts w:hint="eastAsia" w:ascii="仿宋" w:hAnsi="仿宋" w:eastAsia="仿宋" w:cs="仿宋"/>
          <w:snapToGrid/>
          <w:color w:val="000000"/>
          <w:kern w:val="0"/>
          <w:sz w:val="28"/>
          <w:szCs w:val="28"/>
          <w:highlight w:val="none"/>
        </w:rPr>
        <w:t>采购方式：竞争性磋商</w:t>
      </w:r>
    </w:p>
    <w:p w14:paraId="42EA680F">
      <w:pPr>
        <w:keepNext w:val="0"/>
        <w:keepLines w:val="0"/>
        <w:pageBreakBefore w:val="0"/>
        <w:overflowPunct/>
        <w:bidi w:val="0"/>
        <w:adjustRightInd/>
        <w:snapToGrid/>
        <w:spacing w:before="157" w:beforeLines="50" w:after="157" w:afterLines="50" w:line="240" w:lineRule="auto"/>
        <w:ind w:firstLine="560" w:firstLineChars="200"/>
        <w:rPr>
          <w:rFonts w:ascii="仿宋" w:hAnsi="仿宋" w:eastAsia="仿宋" w:cs="仿宋"/>
          <w:snapToGrid/>
          <w:color w:val="000000" w:themeColor="text1"/>
          <w:kern w:val="0"/>
          <w:sz w:val="28"/>
          <w:szCs w:val="28"/>
          <w:highlight w:val="none"/>
          <w14:textFill>
            <w14:solidFill>
              <w14:schemeClr w14:val="tx1"/>
            </w14:solidFill>
          </w14:textFill>
        </w:rPr>
      </w:pPr>
      <w:r>
        <w:rPr>
          <w:rFonts w:hint="eastAsia" w:ascii="仿宋" w:hAnsi="仿宋" w:eastAsia="仿宋" w:cs="仿宋"/>
          <w:snapToGrid/>
          <w:color w:val="000000" w:themeColor="text1"/>
          <w:kern w:val="0"/>
          <w:sz w:val="28"/>
          <w:szCs w:val="28"/>
          <w:highlight w:val="none"/>
          <w14:textFill>
            <w14:solidFill>
              <w14:schemeClr w14:val="tx1"/>
            </w14:solidFill>
          </w14:textFill>
        </w:rPr>
        <w:t>预算金额：</w:t>
      </w:r>
      <w:r>
        <w:rPr>
          <w:rFonts w:hint="eastAsia" w:ascii="仿宋" w:hAnsi="仿宋" w:eastAsia="仿宋" w:cs="仿宋"/>
          <w:snapToGrid/>
          <w:color w:val="000000" w:themeColor="text1"/>
          <w:kern w:val="0"/>
          <w:sz w:val="28"/>
          <w:szCs w:val="28"/>
          <w:highlight w:val="none"/>
          <w:lang w:eastAsia="zh-CN"/>
          <w14:textFill>
            <w14:solidFill>
              <w14:schemeClr w14:val="tx1"/>
            </w14:solidFill>
          </w14:textFill>
        </w:rPr>
        <w:t>15万元</w:t>
      </w:r>
      <w:r>
        <w:rPr>
          <w:rFonts w:hint="eastAsia" w:ascii="仿宋" w:hAnsi="仿宋" w:eastAsia="仿宋" w:cs="仿宋"/>
          <w:snapToGrid/>
          <w:color w:val="000000" w:themeColor="text1"/>
          <w:kern w:val="0"/>
          <w:sz w:val="28"/>
          <w:szCs w:val="28"/>
          <w:highlight w:val="none"/>
          <w14:textFill>
            <w14:solidFill>
              <w14:schemeClr w14:val="tx1"/>
            </w14:solidFill>
          </w14:textFill>
        </w:rPr>
        <w:t>，财政资金</w:t>
      </w:r>
    </w:p>
    <w:p w14:paraId="1605EABF">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right="0" w:rightChars="0" w:firstLine="560" w:firstLineChars="200"/>
        <w:contextualSpacing/>
        <w:textAlignment w:val="auto"/>
        <w:rPr>
          <w:rFonts w:hint="eastAsia" w:ascii="仿宋" w:hAnsi="仿宋" w:eastAsia="仿宋" w:cs="仿宋"/>
          <w:snapToGrid/>
          <w:color w:val="000000" w:themeColor="text1"/>
          <w:kern w:val="0"/>
          <w:sz w:val="28"/>
          <w:szCs w:val="28"/>
          <w:highlight w:val="none"/>
          <w14:textFill>
            <w14:solidFill>
              <w14:schemeClr w14:val="tx1"/>
            </w14:solidFill>
          </w14:textFill>
        </w:rPr>
      </w:pPr>
      <w:r>
        <w:rPr>
          <w:rFonts w:hint="eastAsia" w:ascii="仿宋" w:hAnsi="仿宋" w:eastAsia="仿宋" w:cs="仿宋"/>
          <w:snapToGrid/>
          <w:color w:val="000000" w:themeColor="text1"/>
          <w:kern w:val="0"/>
          <w:sz w:val="28"/>
          <w:szCs w:val="28"/>
          <w:highlight w:val="none"/>
          <w14:textFill>
            <w14:solidFill>
              <w14:schemeClr w14:val="tx1"/>
            </w14:solidFill>
          </w14:textFill>
        </w:rPr>
        <w:t>最高限价：</w:t>
      </w:r>
      <w:r>
        <w:rPr>
          <w:rFonts w:hint="eastAsia" w:ascii="仿宋" w:hAnsi="仿宋" w:eastAsia="仿宋" w:cs="仿宋"/>
          <w:snapToGrid/>
          <w:color w:val="000000" w:themeColor="text1"/>
          <w:kern w:val="0"/>
          <w:sz w:val="28"/>
          <w:szCs w:val="28"/>
          <w:highlight w:val="none"/>
          <w:lang w:eastAsia="zh-CN"/>
          <w14:textFill>
            <w14:solidFill>
              <w14:schemeClr w14:val="tx1"/>
            </w14:solidFill>
          </w14:textFill>
        </w:rPr>
        <w:t>15万元</w:t>
      </w:r>
    </w:p>
    <w:p w14:paraId="4116897F">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snapToGrid/>
          <w:color w:val="000000" w:themeColor="text1"/>
          <w:kern w:val="0"/>
          <w:sz w:val="28"/>
          <w:szCs w:val="28"/>
          <w:highlight w:val="none"/>
          <w14:textFill>
            <w14:solidFill>
              <w14:schemeClr w14:val="tx1"/>
            </w14:solidFill>
          </w14:textFill>
        </w:rPr>
        <w:t>采购需求</w:t>
      </w:r>
      <w:r>
        <w:rPr>
          <w:rFonts w:hint="eastAsia" w:ascii="仿宋" w:hAnsi="仿宋" w:eastAsia="仿宋" w:cs="仿宋"/>
          <w:color w:val="000000"/>
          <w:sz w:val="28"/>
          <w:szCs w:val="28"/>
          <w:highlight w:val="none"/>
          <w:lang w:val="en-US" w:eastAsia="zh-CN"/>
        </w:rPr>
        <w:t>：</w:t>
      </w:r>
      <w:bookmarkStart w:id="16" w:name="_Toc35393630"/>
      <w:bookmarkStart w:id="17" w:name="_Toc28359090"/>
      <w:bookmarkStart w:id="18" w:name="_Toc28359013"/>
      <w:bookmarkStart w:id="19" w:name="_Toc35393799"/>
      <w:r>
        <w:rPr>
          <w:rFonts w:hint="eastAsia" w:ascii="仿宋" w:hAnsi="仿宋" w:eastAsia="仿宋" w:cs="仿宋"/>
          <w:color w:val="000000"/>
          <w:sz w:val="28"/>
          <w:szCs w:val="28"/>
          <w:highlight w:val="none"/>
          <w:lang w:val="en-US" w:eastAsia="zh-CN"/>
        </w:rPr>
        <w:t>①编制淮南牛肉汤检验检测中心建设项目初步设计文本和投资概算，②编制国家煤化工中心（淮南市质检所）重点工业产品检验检测设备更新可行性研究报告及投资估算、项目初步设计文本、投资概算及初步设计图纸、③编制食品安全监管基础设施建设项目可行性研究报告及投资估算，初步设计文本和投资概算。具体详见第四章采购需求。</w:t>
      </w:r>
    </w:p>
    <w:p w14:paraId="5940E487">
      <w:pPr>
        <w:keepNext w:val="0"/>
        <w:keepLines w:val="0"/>
        <w:pageBreakBefore w:val="0"/>
        <w:overflowPunct/>
        <w:bidi w:val="0"/>
        <w:adjustRightInd/>
        <w:snapToGrid/>
        <w:spacing w:before="157" w:beforeLines="50" w:after="157" w:afterLines="50" w:line="240" w:lineRule="auto"/>
        <w:ind w:firstLine="560" w:firstLineChars="200"/>
        <w:rPr>
          <w:rFonts w:hint="eastAsia" w:ascii="仿宋" w:hAnsi="仿宋" w:eastAsia="仿宋" w:cs="仿宋"/>
          <w:snapToGrid/>
          <w:color w:val="FF0000"/>
          <w:kern w:val="0"/>
          <w:sz w:val="28"/>
          <w:szCs w:val="28"/>
          <w:highlight w:val="none"/>
          <w:lang w:eastAsia="zh-CN"/>
        </w:rPr>
      </w:pPr>
      <w:r>
        <w:rPr>
          <w:rFonts w:hint="eastAsia" w:ascii="仿宋" w:hAnsi="仿宋" w:eastAsia="仿宋" w:cs="仿宋"/>
          <w:snapToGrid/>
          <w:color w:val="000000" w:themeColor="text1"/>
          <w:kern w:val="0"/>
          <w:sz w:val="28"/>
          <w:szCs w:val="28"/>
          <w:highlight w:val="none"/>
          <w14:textFill>
            <w14:solidFill>
              <w14:schemeClr w14:val="tx1"/>
            </w14:solidFill>
          </w14:textFill>
        </w:rPr>
        <w:t>合同履行期限</w:t>
      </w:r>
      <w:r>
        <w:rPr>
          <w:rFonts w:hint="eastAsia" w:ascii="仿宋" w:hAnsi="仿宋" w:eastAsia="仿宋" w:cs="仿宋"/>
          <w:snapToGrid/>
          <w:color w:val="FF0000"/>
          <w:kern w:val="0"/>
          <w:sz w:val="28"/>
          <w:szCs w:val="28"/>
          <w:highlight w:val="none"/>
        </w:rPr>
        <w:t>：</w:t>
      </w:r>
      <w:r>
        <w:rPr>
          <w:rFonts w:hint="eastAsia" w:ascii="仿宋" w:hAnsi="仿宋" w:eastAsia="仿宋" w:cs="仿宋"/>
          <w:snapToGrid/>
          <w:color w:val="FF0000"/>
          <w:kern w:val="0"/>
          <w:sz w:val="28"/>
          <w:szCs w:val="28"/>
          <w:highlight w:val="none"/>
          <w:lang w:eastAsia="zh-CN"/>
        </w:rPr>
        <w:t>180日</w:t>
      </w:r>
    </w:p>
    <w:p w14:paraId="28F217CE">
      <w:pPr>
        <w:pStyle w:val="28"/>
        <w:keepNext w:val="0"/>
        <w:keepLines w:val="0"/>
        <w:pageBreakBefore w:val="0"/>
        <w:overflowPunct/>
        <w:bidi w:val="0"/>
        <w:adjustRightInd/>
        <w:snapToGrid/>
        <w:spacing w:before="157" w:beforeLines="50" w:after="157" w:afterLines="50" w:line="240" w:lineRule="auto"/>
        <w:ind w:right="0" w:rightChars="0" w:firstLine="560" w:firstLineChars="200"/>
        <w:rPr>
          <w:rFonts w:hint="eastAsia" w:ascii="仿宋" w:hAnsi="仿宋" w:eastAsia="仿宋" w:cs="仿宋"/>
          <w:snapToGrid/>
          <w:color w:val="000000"/>
          <w:sz w:val="28"/>
          <w:szCs w:val="28"/>
          <w:lang w:val="en-US" w:eastAsia="zh-CN"/>
        </w:rPr>
      </w:pPr>
      <w:r>
        <w:rPr>
          <w:rFonts w:hint="eastAsia" w:ascii="仿宋" w:hAnsi="仿宋" w:eastAsia="仿宋" w:cs="仿宋"/>
          <w:snapToGrid/>
          <w:color w:val="000000"/>
          <w:sz w:val="28"/>
          <w:szCs w:val="28"/>
          <w:lang w:val="en-US" w:eastAsia="zh-CN"/>
        </w:rPr>
        <w:t>质量标准：合格</w:t>
      </w:r>
    </w:p>
    <w:p w14:paraId="3D5C8020">
      <w:pPr>
        <w:pStyle w:val="28"/>
        <w:keepNext w:val="0"/>
        <w:keepLines w:val="0"/>
        <w:pageBreakBefore w:val="0"/>
        <w:overflowPunct/>
        <w:bidi w:val="0"/>
        <w:adjustRightInd/>
        <w:snapToGrid/>
        <w:spacing w:before="157" w:beforeLines="50" w:after="157" w:afterLines="50" w:line="240" w:lineRule="auto"/>
        <w:ind w:right="0" w:rightChars="0" w:firstLine="560" w:firstLineChars="200"/>
        <w:rPr>
          <w:rFonts w:hint="eastAsia" w:ascii="仿宋" w:hAnsi="仿宋" w:eastAsia="仿宋" w:cs="仿宋"/>
          <w:snapToGrid/>
          <w:color w:val="000000"/>
          <w:sz w:val="28"/>
          <w:szCs w:val="28"/>
          <w:lang w:eastAsia="zh-CN"/>
        </w:rPr>
      </w:pPr>
      <w:r>
        <w:rPr>
          <w:rFonts w:hint="eastAsia" w:ascii="仿宋" w:hAnsi="仿宋" w:eastAsia="仿宋" w:cs="仿宋"/>
          <w:snapToGrid/>
          <w:color w:val="000000"/>
          <w:sz w:val="28"/>
          <w:szCs w:val="28"/>
        </w:rPr>
        <w:t>本项目(是/否)接受联合体：否</w:t>
      </w:r>
      <w:r>
        <w:rPr>
          <w:rFonts w:hint="eastAsia" w:ascii="仿宋" w:hAnsi="仿宋" w:eastAsia="仿宋" w:cs="仿宋"/>
          <w:snapToGrid/>
          <w:color w:val="000000"/>
          <w:sz w:val="28"/>
          <w:szCs w:val="28"/>
          <w:lang w:eastAsia="zh-CN"/>
        </w:rPr>
        <w:t>。</w:t>
      </w:r>
    </w:p>
    <w:p w14:paraId="1838C013">
      <w:pPr>
        <w:keepNext w:val="0"/>
        <w:keepLines w:val="0"/>
        <w:pageBreakBefore w:val="0"/>
        <w:wordWrap w:val="0"/>
        <w:overflowPunct/>
        <w:bidi w:val="0"/>
        <w:adjustRightInd/>
        <w:snapToGrid/>
        <w:spacing w:before="157" w:beforeLines="50" w:after="157" w:afterLines="50" w:line="240" w:lineRule="auto"/>
        <w:rPr>
          <w:rFonts w:hint="eastAsia" w:ascii="黑体" w:hAnsi="黑体" w:eastAsia="黑体" w:cs="黑体"/>
          <w:snapToGrid/>
          <w:color w:val="000000"/>
          <w:kern w:val="0"/>
          <w:sz w:val="28"/>
          <w:szCs w:val="28"/>
        </w:rPr>
      </w:pPr>
      <w:r>
        <w:rPr>
          <w:rFonts w:hint="eastAsia" w:ascii="黑体" w:hAnsi="黑体" w:eastAsia="黑体" w:cs="黑体"/>
          <w:snapToGrid/>
          <w:color w:val="000000"/>
          <w:kern w:val="0"/>
          <w:sz w:val="28"/>
          <w:szCs w:val="28"/>
        </w:rPr>
        <w:t>二、申请人资格要求：</w:t>
      </w:r>
      <w:bookmarkEnd w:id="16"/>
      <w:bookmarkEnd w:id="17"/>
      <w:bookmarkEnd w:id="18"/>
      <w:bookmarkEnd w:id="19"/>
    </w:p>
    <w:p w14:paraId="315389F8">
      <w:pPr>
        <w:keepNext w:val="0"/>
        <w:keepLines w:val="0"/>
        <w:pageBreakBefore w:val="0"/>
        <w:widowControl/>
        <w:overflowPunct/>
        <w:bidi w:val="0"/>
        <w:adjustRightInd/>
        <w:snapToGrid/>
        <w:spacing w:before="157" w:beforeLines="50" w:after="157" w:afterLines="50" w:line="240" w:lineRule="auto"/>
        <w:ind w:firstLine="560" w:firstLineChars="200"/>
        <w:rPr>
          <w:rFonts w:hint="eastAsia" w:ascii="仿宋" w:hAnsi="仿宋" w:eastAsia="仿宋" w:cs="仿宋"/>
          <w:snapToGrid/>
          <w:color w:val="000000"/>
          <w:kern w:val="0"/>
          <w:sz w:val="28"/>
          <w:szCs w:val="28"/>
        </w:rPr>
      </w:pPr>
      <w:r>
        <w:rPr>
          <w:rFonts w:hint="eastAsia" w:ascii="仿宋" w:hAnsi="仿宋" w:eastAsia="仿宋" w:cs="仿宋"/>
          <w:snapToGrid/>
          <w:color w:val="000000"/>
          <w:kern w:val="0"/>
          <w:sz w:val="28"/>
          <w:szCs w:val="28"/>
        </w:rPr>
        <w:t>1、供应商应符合《中华人民共和国政府采购法》第二十二条规定；</w:t>
      </w:r>
    </w:p>
    <w:p w14:paraId="55F1D1C5">
      <w:pPr>
        <w:pStyle w:val="27"/>
        <w:keepNext w:val="0"/>
        <w:keepLines w:val="0"/>
        <w:pageBreakBefore w:val="0"/>
        <w:widowControl/>
        <w:kinsoku/>
        <w:overflowPunct/>
        <w:topLinePunct w:val="0"/>
        <w:autoSpaceDE/>
        <w:autoSpaceDN/>
        <w:bidi w:val="0"/>
        <w:adjustRightInd/>
        <w:snapToGrid/>
        <w:spacing w:before="157" w:beforeLines="50" w:beforeAutospacing="0" w:after="157" w:afterLines="50" w:afterAutospacing="0" w:line="360" w:lineRule="auto"/>
        <w:ind w:firstLine="560" w:firstLineChars="200"/>
        <w:textAlignment w:val="auto"/>
        <w:rPr>
          <w:rFonts w:hint="eastAsia" w:ascii="仿宋" w:eastAsia="仿宋" w:cs="仿宋"/>
          <w:color w:val="000000"/>
          <w:sz w:val="28"/>
          <w:szCs w:val="28"/>
          <w:highlight w:val="none"/>
          <w:lang w:val="en-US" w:eastAsia="zh-CN"/>
        </w:rPr>
      </w:pPr>
      <w:bookmarkStart w:id="20" w:name="_Toc35393801"/>
      <w:bookmarkStart w:id="21" w:name="_Toc28359092"/>
      <w:bookmarkStart w:id="22" w:name="_Toc35393632"/>
      <w:bookmarkStart w:id="23" w:name="_Toc28359015"/>
      <w:r>
        <w:rPr>
          <w:rFonts w:hint="eastAsia" w:ascii="仿宋" w:eastAsia="仿宋" w:cs="仿宋"/>
          <w:color w:val="000000"/>
          <w:sz w:val="28"/>
          <w:szCs w:val="28"/>
          <w:highlight w:val="none"/>
          <w:lang w:val="en-US" w:eastAsia="zh-CN"/>
        </w:rPr>
        <w:t>2.落实政府采购政策需满足的资格要求：</w:t>
      </w:r>
      <w:r>
        <w:rPr>
          <w:rFonts w:hint="eastAsia" w:ascii="仿宋" w:hAnsi="仿宋" w:eastAsia="仿宋" w:cs="仿宋"/>
          <w:sz w:val="28"/>
          <w:szCs w:val="28"/>
          <w:lang w:val="en-US" w:eastAsia="zh-CN"/>
        </w:rPr>
        <w:t>无。</w:t>
      </w:r>
    </w:p>
    <w:p w14:paraId="3BB09EA6">
      <w:pPr>
        <w:pStyle w:val="27"/>
        <w:keepNext w:val="0"/>
        <w:keepLines w:val="0"/>
        <w:pageBreakBefore w:val="0"/>
        <w:widowControl/>
        <w:kinsoku/>
        <w:overflowPunct/>
        <w:topLinePunct w:val="0"/>
        <w:autoSpaceDE/>
        <w:autoSpaceDN/>
        <w:bidi w:val="0"/>
        <w:adjustRightInd/>
        <w:snapToGrid/>
        <w:spacing w:before="157" w:beforeLines="50" w:beforeAutospacing="0" w:after="157" w:afterLines="50" w:afterAutospacing="0" w:line="360" w:lineRule="auto"/>
        <w:ind w:firstLine="560" w:firstLineChars="200"/>
        <w:textAlignment w:val="auto"/>
        <w:rPr>
          <w:rFonts w:hint="eastAsia" w:ascii="仿宋" w:eastAsia="仿宋" w:cs="仿宋"/>
          <w:color w:val="000000"/>
          <w:sz w:val="28"/>
          <w:szCs w:val="28"/>
          <w:highlight w:val="none"/>
        </w:rPr>
      </w:pPr>
      <w:r>
        <w:rPr>
          <w:rFonts w:hint="eastAsia" w:ascii="仿宋" w:eastAsia="仿宋" w:cs="仿宋"/>
          <w:color w:val="000000"/>
          <w:sz w:val="28"/>
          <w:szCs w:val="28"/>
          <w:highlight w:val="none"/>
        </w:rPr>
        <w:t>3.本项目的特定资格要求：</w:t>
      </w:r>
      <w:r>
        <w:rPr>
          <w:rFonts w:hint="eastAsia" w:ascii="仿宋" w:eastAsia="仿宋" w:cs="仿宋"/>
          <w:color w:val="000000"/>
          <w:sz w:val="28"/>
          <w:szCs w:val="28"/>
          <w:highlight w:val="none"/>
          <w:lang w:val="en-US" w:eastAsia="zh-CN"/>
        </w:rPr>
        <w:t>供应商须具有有效的工程设计综合甲级资质或工程设计建筑行业乙级及以上资质或工程设计建筑行业（建筑工程）专业乙级及以上资质。</w:t>
      </w:r>
    </w:p>
    <w:p w14:paraId="182FEC5D">
      <w:pPr>
        <w:keepNext w:val="0"/>
        <w:keepLines w:val="0"/>
        <w:pageBreakBefore w:val="0"/>
        <w:wordWrap w:val="0"/>
        <w:overflowPunct/>
        <w:bidi w:val="0"/>
        <w:adjustRightInd/>
        <w:snapToGrid/>
        <w:spacing w:before="157" w:beforeLines="50" w:after="157" w:afterLines="50" w:line="240" w:lineRule="auto"/>
        <w:rPr>
          <w:rFonts w:hint="eastAsia" w:ascii="黑体" w:hAnsi="黑体" w:eastAsia="黑体" w:cs="黑体"/>
          <w:snapToGrid/>
          <w:color w:val="000000"/>
          <w:kern w:val="0"/>
          <w:sz w:val="28"/>
          <w:szCs w:val="28"/>
        </w:rPr>
      </w:pPr>
      <w:r>
        <w:rPr>
          <w:rFonts w:hint="eastAsia" w:ascii="黑体" w:hAnsi="黑体" w:eastAsia="黑体" w:cs="黑体"/>
          <w:snapToGrid/>
          <w:color w:val="000000"/>
          <w:kern w:val="0"/>
          <w:sz w:val="28"/>
          <w:szCs w:val="28"/>
        </w:rPr>
        <w:t>三、获取采购文件</w:t>
      </w:r>
    </w:p>
    <w:p w14:paraId="6F5C0C46">
      <w:pPr>
        <w:keepNext w:val="0"/>
        <w:keepLines w:val="0"/>
        <w:pageBreakBefore w:val="0"/>
        <w:widowControl/>
        <w:wordWrap w:val="0"/>
        <w:overflowPunct/>
        <w:bidi w:val="0"/>
        <w:adjustRightInd/>
        <w:snapToGrid/>
        <w:spacing w:before="157" w:beforeLines="50" w:after="157" w:afterLines="50" w:line="240" w:lineRule="auto"/>
        <w:ind w:firstLine="560" w:firstLineChars="200"/>
        <w:jc w:val="left"/>
        <w:rPr>
          <w:rFonts w:hint="eastAsia" w:ascii="仿宋" w:hAnsi="仿宋" w:eastAsia="仿宋" w:cs="仿宋"/>
          <w:snapToGrid/>
          <w:color w:val="000000"/>
          <w:kern w:val="0"/>
          <w:sz w:val="28"/>
          <w:szCs w:val="28"/>
          <w:shd w:val="clear" w:color="auto" w:fill="FFFFFF"/>
        </w:rPr>
      </w:pPr>
      <w:r>
        <w:rPr>
          <w:rFonts w:hint="eastAsia" w:ascii="仿宋" w:hAnsi="仿宋" w:eastAsia="仿宋" w:cs="仿宋"/>
          <w:snapToGrid/>
          <w:color w:val="000000"/>
          <w:kern w:val="0"/>
          <w:sz w:val="28"/>
          <w:szCs w:val="28"/>
          <w:shd w:val="clear" w:color="auto" w:fill="FFFFFF"/>
        </w:rPr>
        <w:t>时间：</w:t>
      </w:r>
      <w:r>
        <w:rPr>
          <w:rFonts w:hint="eastAsia" w:ascii="仿宋" w:hAnsi="仿宋" w:eastAsia="仿宋" w:cs="仿宋"/>
          <w:snapToGrid/>
          <w:color w:val="000000"/>
          <w:kern w:val="0"/>
          <w:sz w:val="28"/>
          <w:szCs w:val="28"/>
          <w:highlight w:val="none"/>
          <w:shd w:val="clear" w:color="auto" w:fill="FFFFFF"/>
        </w:rPr>
        <w:t>2026年9月</w:t>
      </w:r>
      <w:r>
        <w:rPr>
          <w:rFonts w:hint="eastAsia" w:ascii="仿宋" w:hAnsi="仿宋" w:eastAsia="仿宋" w:cs="仿宋"/>
          <w:snapToGrid/>
          <w:color w:val="000000"/>
          <w:kern w:val="0"/>
          <w:sz w:val="28"/>
          <w:szCs w:val="28"/>
          <w:highlight w:val="none"/>
          <w:shd w:val="clear" w:color="auto" w:fill="FFFFFF"/>
          <w:lang w:val="en-US" w:eastAsia="zh-CN"/>
        </w:rPr>
        <w:t>14</w:t>
      </w:r>
      <w:r>
        <w:rPr>
          <w:rFonts w:hint="eastAsia" w:ascii="仿宋" w:hAnsi="仿宋" w:eastAsia="仿宋" w:cs="仿宋"/>
          <w:snapToGrid/>
          <w:color w:val="000000"/>
          <w:kern w:val="0"/>
          <w:sz w:val="28"/>
          <w:szCs w:val="28"/>
          <w:highlight w:val="none"/>
          <w:shd w:val="clear" w:color="auto" w:fill="FFFFFF"/>
        </w:rPr>
        <w:t>日至2026年9月</w:t>
      </w:r>
      <w:r>
        <w:rPr>
          <w:rFonts w:hint="eastAsia" w:ascii="仿宋" w:hAnsi="仿宋" w:eastAsia="仿宋" w:cs="仿宋"/>
          <w:snapToGrid/>
          <w:color w:val="000000"/>
          <w:kern w:val="0"/>
          <w:sz w:val="28"/>
          <w:szCs w:val="28"/>
          <w:highlight w:val="none"/>
          <w:shd w:val="clear" w:color="auto" w:fill="FFFFFF"/>
          <w:lang w:val="en-US" w:eastAsia="zh-CN"/>
        </w:rPr>
        <w:t>28</w:t>
      </w:r>
      <w:r>
        <w:rPr>
          <w:rFonts w:hint="eastAsia" w:ascii="仿宋" w:hAnsi="仿宋" w:eastAsia="仿宋" w:cs="仿宋"/>
          <w:snapToGrid/>
          <w:color w:val="000000"/>
          <w:kern w:val="0"/>
          <w:sz w:val="28"/>
          <w:szCs w:val="28"/>
          <w:highlight w:val="none"/>
          <w:shd w:val="clear" w:color="auto" w:fill="FFFFFF"/>
        </w:rPr>
        <w:t>日</w:t>
      </w:r>
      <w:r>
        <w:rPr>
          <w:rFonts w:hint="eastAsia" w:ascii="仿宋" w:hAnsi="仿宋" w:eastAsia="仿宋" w:cs="仿宋"/>
          <w:snapToGrid/>
          <w:color w:val="000000"/>
          <w:kern w:val="0"/>
          <w:sz w:val="28"/>
          <w:szCs w:val="28"/>
          <w:highlight w:val="none"/>
          <w:shd w:val="clear" w:color="auto" w:fill="FFFFFF"/>
          <w:lang w:val="en-US" w:eastAsia="zh-CN"/>
        </w:rPr>
        <w:t>15点00分</w:t>
      </w:r>
      <w:bookmarkStart w:id="993" w:name="_GoBack"/>
      <w:bookmarkEnd w:id="993"/>
    </w:p>
    <w:p w14:paraId="2CADC2C8">
      <w:pPr>
        <w:keepNext w:val="0"/>
        <w:keepLines w:val="0"/>
        <w:pageBreakBefore w:val="0"/>
        <w:widowControl/>
        <w:wordWrap w:val="0"/>
        <w:overflowPunct/>
        <w:topLinePunct/>
        <w:bidi w:val="0"/>
        <w:adjustRightInd/>
        <w:snapToGrid/>
        <w:spacing w:before="157" w:beforeLines="50" w:after="157" w:afterLines="50" w:line="240" w:lineRule="auto"/>
        <w:ind w:firstLine="560" w:firstLineChars="200"/>
        <w:jc w:val="left"/>
        <w:rPr>
          <w:rFonts w:hint="eastAsia" w:ascii="仿宋" w:hAnsi="仿宋" w:eastAsia="仿宋" w:cs="仿宋"/>
          <w:snapToGrid/>
          <w:color w:val="000000"/>
          <w:kern w:val="0"/>
          <w:sz w:val="28"/>
          <w:szCs w:val="28"/>
          <w:shd w:val="clear" w:color="auto" w:fill="FFFFFF"/>
        </w:rPr>
      </w:pPr>
      <w:r>
        <w:rPr>
          <w:rFonts w:hint="eastAsia" w:ascii="仿宋" w:hAnsi="仿宋" w:eastAsia="仿宋" w:cs="仿宋"/>
          <w:snapToGrid/>
          <w:color w:val="000000"/>
          <w:kern w:val="0"/>
          <w:sz w:val="28"/>
          <w:szCs w:val="28"/>
          <w:shd w:val="clear" w:color="auto" w:fill="FFFFFF"/>
        </w:rPr>
        <w:t>地点：淮南市田家庵区淮河新城五期5号楼17层</w:t>
      </w:r>
    </w:p>
    <w:p w14:paraId="4BBF15E7">
      <w:pPr>
        <w:keepNext w:val="0"/>
        <w:keepLines w:val="0"/>
        <w:pageBreakBefore w:val="0"/>
        <w:widowControl w:val="0"/>
        <w:kinsoku/>
        <w:overflowPunct/>
        <w:topLinePunct w:val="0"/>
        <w:autoSpaceDE/>
        <w:autoSpaceDN/>
        <w:bidi w:val="0"/>
        <w:adjustRightInd w:val="0"/>
        <w:snapToGrid w:val="0"/>
        <w:spacing w:line="360" w:lineRule="auto"/>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napToGrid/>
          <w:color w:val="000000"/>
          <w:kern w:val="0"/>
          <w:sz w:val="28"/>
          <w:szCs w:val="28"/>
          <w:shd w:val="clear" w:color="auto" w:fill="FFFFFF"/>
        </w:rPr>
        <w:t>方式：</w:t>
      </w:r>
      <w:r>
        <w:rPr>
          <w:rFonts w:hint="eastAsia" w:ascii="仿宋" w:hAnsi="仿宋" w:eastAsia="仿宋" w:cs="仿宋"/>
          <w:color w:val="000000"/>
          <w:kern w:val="0"/>
          <w:sz w:val="28"/>
          <w:szCs w:val="28"/>
          <w:shd w:val="clear" w:color="auto" w:fill="FFFFFF"/>
        </w:rPr>
        <w:t>邮箱获取。潜在供应商将提供加盖单位公章</w:t>
      </w:r>
      <w:r>
        <w:rPr>
          <w:rFonts w:hint="eastAsia" w:ascii="仿宋" w:hAnsi="仿宋" w:eastAsia="仿宋" w:cs="仿宋"/>
          <w:color w:val="000000"/>
          <w:kern w:val="0"/>
          <w:sz w:val="28"/>
          <w:szCs w:val="28"/>
          <w:shd w:val="clear" w:color="auto" w:fill="FFFFFF"/>
          <w:lang w:val="en-US" w:eastAsia="zh-CN"/>
        </w:rPr>
        <w:t>的</w:t>
      </w:r>
      <w:r>
        <w:rPr>
          <w:rFonts w:hint="eastAsia" w:ascii="仿宋" w:hAnsi="仿宋" w:eastAsia="仿宋" w:cs="仿宋"/>
          <w:color w:val="000000"/>
          <w:kern w:val="0"/>
          <w:sz w:val="28"/>
          <w:szCs w:val="28"/>
          <w:shd w:val="clear" w:color="auto" w:fill="FFFFFF"/>
        </w:rPr>
        <w:t>授权委托书</w:t>
      </w:r>
      <w:r>
        <w:rPr>
          <w:rFonts w:hint="eastAsia" w:ascii="仿宋" w:hAnsi="仿宋" w:eastAsia="仿宋" w:cs="仿宋"/>
          <w:color w:val="000000"/>
          <w:kern w:val="0"/>
          <w:sz w:val="28"/>
          <w:szCs w:val="28"/>
          <w:shd w:val="clear" w:color="auto" w:fill="FFFFFF"/>
          <w:lang w:eastAsia="zh-CN"/>
        </w:rPr>
        <w:t>（</w:t>
      </w:r>
      <w:r>
        <w:rPr>
          <w:rFonts w:hint="eastAsia" w:ascii="仿宋" w:hAnsi="仿宋" w:eastAsia="仿宋" w:cs="仿宋"/>
          <w:color w:val="000000"/>
          <w:kern w:val="0"/>
          <w:sz w:val="28"/>
          <w:szCs w:val="28"/>
          <w:shd w:val="clear" w:color="auto" w:fill="FFFFFF"/>
        </w:rPr>
        <w:t>须包含</w:t>
      </w:r>
      <w:r>
        <w:rPr>
          <w:rFonts w:hint="default" w:ascii="仿宋" w:hAnsi="仿宋" w:eastAsia="仿宋" w:cs="仿宋"/>
          <w:color w:val="000000"/>
          <w:kern w:val="0"/>
          <w:sz w:val="28"/>
          <w:szCs w:val="28"/>
          <w:shd w:val="clear" w:color="auto" w:fill="FFFFFF"/>
        </w:rPr>
        <w:t>法定代表人及授权委托人身份证复印件及</w:t>
      </w:r>
      <w:r>
        <w:rPr>
          <w:rFonts w:hint="eastAsia" w:ascii="仿宋" w:hAnsi="仿宋" w:eastAsia="仿宋" w:cs="仿宋"/>
          <w:color w:val="000000"/>
          <w:kern w:val="0"/>
          <w:sz w:val="28"/>
          <w:szCs w:val="28"/>
          <w:shd w:val="clear" w:color="auto" w:fill="FFFFFF"/>
        </w:rPr>
        <w:t>联系电话）、营业执照</w:t>
      </w:r>
      <w:r>
        <w:rPr>
          <w:rFonts w:hint="eastAsia" w:ascii="仿宋" w:hAnsi="仿宋" w:eastAsia="仿宋" w:cs="仿宋"/>
          <w:color w:val="000000"/>
          <w:kern w:val="0"/>
          <w:sz w:val="28"/>
          <w:szCs w:val="28"/>
          <w:shd w:val="clear" w:color="auto" w:fill="FFFFFF"/>
          <w:lang w:eastAsia="zh-CN"/>
        </w:rPr>
        <w:t>、</w:t>
      </w:r>
      <w:r>
        <w:rPr>
          <w:rFonts w:hint="eastAsia" w:ascii="仿宋" w:hAnsi="仿宋" w:eastAsia="仿宋" w:cs="仿宋"/>
          <w:color w:val="FF0000"/>
          <w:kern w:val="0"/>
          <w:sz w:val="28"/>
          <w:szCs w:val="28"/>
          <w:highlight w:val="none"/>
          <w:shd w:val="clear" w:color="auto" w:fill="FFFFFF"/>
          <w:lang w:val="en-US" w:eastAsia="zh-CN"/>
        </w:rPr>
        <w:t>资质证书</w:t>
      </w:r>
      <w:r>
        <w:rPr>
          <w:rFonts w:hint="eastAsia" w:ascii="仿宋" w:hAnsi="仿宋" w:eastAsia="仿宋" w:cs="仿宋"/>
          <w:color w:val="000000"/>
          <w:kern w:val="0"/>
          <w:sz w:val="28"/>
          <w:szCs w:val="28"/>
          <w:shd w:val="clear" w:color="auto" w:fill="FFFFFF"/>
        </w:rPr>
        <w:t>扫描件</w:t>
      </w:r>
      <w:r>
        <w:rPr>
          <w:rFonts w:hint="default" w:ascii="仿宋" w:hAnsi="仿宋" w:eastAsia="仿宋" w:cs="仿宋"/>
          <w:color w:val="000000"/>
          <w:kern w:val="0"/>
          <w:sz w:val="28"/>
          <w:szCs w:val="28"/>
          <w:shd w:val="clear" w:color="auto" w:fill="FFFFFF"/>
        </w:rPr>
        <w:t>、</w:t>
      </w:r>
      <w:r>
        <w:rPr>
          <w:rFonts w:hint="eastAsia" w:ascii="仿宋" w:hAnsi="仿宋" w:eastAsia="仿宋" w:cs="仿宋"/>
          <w:color w:val="000000"/>
          <w:kern w:val="0"/>
          <w:sz w:val="28"/>
          <w:szCs w:val="28"/>
          <w:shd w:val="clear" w:color="auto" w:fill="FFFFFF"/>
        </w:rPr>
        <w:t>整理在一个PDF文件中发送至代理机构邮箱（1069383737@qq.com），并电话通知代理机构，确认</w:t>
      </w:r>
      <w:r>
        <w:rPr>
          <w:rFonts w:hint="eastAsia" w:ascii="仿宋" w:hAnsi="仿宋" w:eastAsia="仿宋" w:cs="仿宋"/>
          <w:color w:val="000000"/>
          <w:kern w:val="0"/>
          <w:sz w:val="28"/>
          <w:szCs w:val="28"/>
          <w:shd w:val="clear" w:color="auto" w:fill="FFFFFF"/>
          <w:lang w:val="en-US" w:eastAsia="zh-CN"/>
        </w:rPr>
        <w:t>收到</w:t>
      </w:r>
      <w:r>
        <w:rPr>
          <w:rFonts w:hint="eastAsia" w:ascii="仿宋" w:hAnsi="仿宋" w:eastAsia="仿宋" w:cs="仿宋"/>
          <w:color w:val="000000"/>
          <w:kern w:val="0"/>
          <w:sz w:val="28"/>
          <w:szCs w:val="28"/>
          <w:shd w:val="clear" w:color="auto" w:fill="FFFFFF"/>
        </w:rPr>
        <w:t>后代理机构将按原邮箱发送</w:t>
      </w:r>
      <w:r>
        <w:rPr>
          <w:rFonts w:hint="eastAsia" w:ascii="仿宋" w:hAnsi="仿宋" w:eastAsia="仿宋" w:cs="仿宋"/>
          <w:color w:val="000000"/>
          <w:kern w:val="0"/>
          <w:sz w:val="28"/>
          <w:szCs w:val="28"/>
          <w:shd w:val="clear" w:color="auto" w:fill="FFFFFF"/>
          <w:lang w:val="en-US" w:eastAsia="zh-CN"/>
        </w:rPr>
        <w:t>采购</w:t>
      </w:r>
      <w:r>
        <w:rPr>
          <w:rFonts w:hint="eastAsia" w:ascii="仿宋" w:hAnsi="仿宋" w:eastAsia="仿宋" w:cs="仿宋"/>
          <w:color w:val="000000"/>
          <w:kern w:val="0"/>
          <w:sz w:val="28"/>
          <w:szCs w:val="28"/>
          <w:shd w:val="clear" w:color="auto" w:fill="FFFFFF"/>
        </w:rPr>
        <w:t>文件，本项目不接受未获取采购文件的供应商进行投标。</w:t>
      </w:r>
    </w:p>
    <w:p w14:paraId="2EEB8512">
      <w:pPr>
        <w:keepNext w:val="0"/>
        <w:keepLines w:val="0"/>
        <w:pageBreakBefore w:val="0"/>
        <w:widowControl/>
        <w:kinsoku/>
        <w:wordWrap/>
        <w:overflowPunct/>
        <w:topLinePunct w:val="0"/>
        <w:autoSpaceDE/>
        <w:autoSpaceDN/>
        <w:bidi w:val="0"/>
        <w:adjustRightInd/>
        <w:snapToGrid/>
        <w:spacing w:before="157" w:beforeLines="50" w:after="157" w:afterLines="50" w:line="240" w:lineRule="auto"/>
        <w:ind w:firstLine="560" w:firstLineChars="200"/>
        <w:jc w:val="left"/>
        <w:textAlignment w:val="auto"/>
        <w:rPr>
          <w:rFonts w:hint="eastAsia" w:ascii="仿宋" w:hAnsi="仿宋" w:eastAsia="仿宋" w:cs="仿宋"/>
          <w:snapToGrid/>
          <w:color w:val="000000"/>
          <w:kern w:val="0"/>
          <w:sz w:val="28"/>
          <w:szCs w:val="28"/>
          <w:shd w:val="clear" w:color="auto" w:fill="FFFFFF"/>
        </w:rPr>
      </w:pPr>
      <w:r>
        <w:rPr>
          <w:rFonts w:hint="eastAsia" w:ascii="仿宋" w:hAnsi="仿宋" w:eastAsia="仿宋" w:cs="仿宋"/>
          <w:snapToGrid/>
          <w:color w:val="000000"/>
          <w:kern w:val="0"/>
          <w:sz w:val="28"/>
          <w:szCs w:val="28"/>
          <w:shd w:val="clear" w:color="auto" w:fill="FFFFFF"/>
        </w:rPr>
        <w:t>售价：0元</w:t>
      </w:r>
    </w:p>
    <w:p w14:paraId="7E30470E">
      <w:pPr>
        <w:keepNext w:val="0"/>
        <w:keepLines w:val="0"/>
        <w:pageBreakBefore w:val="0"/>
        <w:wordWrap w:val="0"/>
        <w:overflowPunct/>
        <w:bidi w:val="0"/>
        <w:adjustRightInd/>
        <w:snapToGrid/>
        <w:spacing w:before="157" w:beforeLines="50" w:after="157" w:afterLines="50" w:line="240" w:lineRule="auto"/>
        <w:rPr>
          <w:rFonts w:hint="eastAsia" w:ascii="黑体" w:hAnsi="黑体" w:eastAsia="黑体" w:cs="黑体"/>
          <w:snapToGrid/>
          <w:color w:val="000000"/>
          <w:kern w:val="0"/>
          <w:sz w:val="28"/>
          <w:szCs w:val="28"/>
        </w:rPr>
      </w:pPr>
      <w:r>
        <w:rPr>
          <w:rFonts w:hint="eastAsia" w:ascii="黑体" w:hAnsi="黑体" w:eastAsia="黑体" w:cs="黑体"/>
          <w:snapToGrid/>
          <w:color w:val="000000"/>
          <w:kern w:val="0"/>
          <w:sz w:val="28"/>
          <w:szCs w:val="28"/>
        </w:rPr>
        <w:t>四、响应文件提交</w:t>
      </w:r>
      <w:bookmarkEnd w:id="20"/>
      <w:bookmarkEnd w:id="21"/>
      <w:bookmarkEnd w:id="22"/>
      <w:bookmarkEnd w:id="23"/>
    </w:p>
    <w:p w14:paraId="109859AF">
      <w:pPr>
        <w:keepNext w:val="0"/>
        <w:keepLines w:val="0"/>
        <w:pageBreakBefore w:val="0"/>
        <w:overflowPunct/>
        <w:bidi w:val="0"/>
        <w:adjustRightInd/>
        <w:snapToGrid/>
        <w:spacing w:before="157" w:beforeLines="50" w:after="157" w:afterLines="50" w:line="240" w:lineRule="auto"/>
        <w:ind w:firstLine="560" w:firstLineChars="200"/>
        <w:rPr>
          <w:rFonts w:hint="eastAsia" w:ascii="仿宋" w:hAnsi="仿宋" w:eastAsia="仿宋" w:cs="仿宋"/>
          <w:bCs/>
          <w:snapToGrid/>
          <w:color w:val="FF0000"/>
          <w:kern w:val="0"/>
          <w:sz w:val="28"/>
          <w:szCs w:val="28"/>
        </w:rPr>
      </w:pPr>
      <w:r>
        <w:rPr>
          <w:rFonts w:hint="eastAsia" w:ascii="仿宋" w:hAnsi="仿宋" w:eastAsia="仿宋" w:cs="仿宋"/>
          <w:snapToGrid/>
          <w:color w:val="000000" w:themeColor="text1"/>
          <w:kern w:val="0"/>
          <w:sz w:val="28"/>
          <w:szCs w:val="28"/>
          <w14:textFill>
            <w14:solidFill>
              <w14:schemeClr w14:val="tx1"/>
            </w14:solidFill>
          </w14:textFill>
        </w:rPr>
        <w:t>截止时间：</w:t>
      </w:r>
      <w:r>
        <w:rPr>
          <w:rFonts w:hint="eastAsia" w:ascii="仿宋" w:hAnsi="仿宋" w:eastAsia="仿宋" w:cs="仿宋"/>
          <w:snapToGrid/>
          <w:color w:val="FF0000"/>
          <w:kern w:val="0"/>
          <w:sz w:val="28"/>
          <w:szCs w:val="28"/>
          <w:shd w:val="clear" w:color="auto" w:fill="FFFFFF"/>
          <w:lang w:eastAsia="zh-CN"/>
        </w:rPr>
        <w:t>2026</w:t>
      </w:r>
      <w:r>
        <w:rPr>
          <w:rFonts w:hint="eastAsia" w:ascii="仿宋" w:hAnsi="仿宋" w:eastAsia="仿宋" w:cs="仿宋"/>
          <w:snapToGrid/>
          <w:color w:val="FF0000"/>
          <w:kern w:val="0"/>
          <w:sz w:val="28"/>
          <w:szCs w:val="28"/>
          <w:shd w:val="clear" w:color="auto" w:fill="FFFFFF"/>
        </w:rPr>
        <w:t>年</w:t>
      </w:r>
      <w:r>
        <w:rPr>
          <w:rFonts w:hint="eastAsia" w:ascii="仿宋" w:hAnsi="仿宋" w:eastAsia="仿宋" w:cs="仿宋"/>
          <w:snapToGrid/>
          <w:color w:val="FF0000"/>
          <w:kern w:val="0"/>
          <w:sz w:val="28"/>
          <w:szCs w:val="28"/>
          <w:shd w:val="clear" w:color="auto" w:fill="FFFFFF"/>
          <w:lang w:eastAsia="zh-CN"/>
        </w:rPr>
        <w:t>9月28日15点</w:t>
      </w:r>
      <w:r>
        <w:rPr>
          <w:rFonts w:hint="eastAsia" w:ascii="仿宋" w:hAnsi="仿宋" w:eastAsia="仿宋" w:cs="仿宋"/>
          <w:snapToGrid/>
          <w:color w:val="FF0000"/>
          <w:kern w:val="0"/>
          <w:sz w:val="28"/>
          <w:szCs w:val="28"/>
          <w:shd w:val="clear" w:color="auto" w:fill="FFFFFF"/>
        </w:rPr>
        <w:t>00分（北京时间）</w:t>
      </w:r>
    </w:p>
    <w:p w14:paraId="60F49844">
      <w:pPr>
        <w:keepNext w:val="0"/>
        <w:keepLines w:val="0"/>
        <w:pageBreakBefore w:val="0"/>
        <w:wordWrap w:val="0"/>
        <w:overflowPunct/>
        <w:bidi w:val="0"/>
        <w:adjustRightInd/>
        <w:snapToGrid/>
        <w:spacing w:before="157" w:beforeLines="50" w:after="157" w:afterLines="50" w:line="240" w:lineRule="auto"/>
        <w:ind w:firstLine="560" w:firstLineChars="200"/>
        <w:rPr>
          <w:rFonts w:hint="eastAsia" w:ascii="仿宋" w:hAnsi="仿宋" w:eastAsia="仿宋" w:cs="仿宋"/>
          <w:snapToGrid/>
          <w:color w:val="000000" w:themeColor="text1"/>
          <w:kern w:val="0"/>
          <w:sz w:val="28"/>
          <w:szCs w:val="28"/>
          <w14:textFill>
            <w14:solidFill>
              <w14:schemeClr w14:val="tx1"/>
            </w14:solidFill>
          </w14:textFill>
        </w:rPr>
      </w:pPr>
      <w:r>
        <w:rPr>
          <w:rFonts w:hint="eastAsia" w:ascii="仿宋" w:hAnsi="仿宋" w:eastAsia="仿宋" w:cs="仿宋"/>
          <w:snapToGrid/>
          <w:color w:val="000000" w:themeColor="text1"/>
          <w:kern w:val="0"/>
          <w:sz w:val="28"/>
          <w:szCs w:val="28"/>
          <w14:textFill>
            <w14:solidFill>
              <w14:schemeClr w14:val="tx1"/>
            </w14:solidFill>
          </w14:textFill>
        </w:rPr>
        <w:t>地点：</w:t>
      </w:r>
      <w:r>
        <w:rPr>
          <w:rFonts w:hint="eastAsia" w:ascii="仿宋" w:hAnsi="仿宋" w:eastAsia="仿宋" w:cs="仿宋"/>
          <w:snapToGrid/>
          <w:color w:val="000000" w:themeColor="text1"/>
          <w:kern w:val="0"/>
          <w:sz w:val="28"/>
          <w:szCs w:val="28"/>
          <w:shd w:val="clear" w:color="auto" w:fill="FFFFFF"/>
          <w14:textFill>
            <w14:solidFill>
              <w14:schemeClr w14:val="tx1"/>
            </w14:solidFill>
          </w14:textFill>
        </w:rPr>
        <w:t>淮南市田家庵区淮河新城五期5号楼17层</w:t>
      </w:r>
    </w:p>
    <w:p w14:paraId="08506855">
      <w:pPr>
        <w:keepNext w:val="0"/>
        <w:keepLines w:val="0"/>
        <w:pageBreakBefore w:val="0"/>
        <w:wordWrap w:val="0"/>
        <w:overflowPunct/>
        <w:bidi w:val="0"/>
        <w:adjustRightInd/>
        <w:snapToGrid/>
        <w:spacing w:before="157" w:beforeLines="50" w:after="157" w:afterLines="50" w:line="240" w:lineRule="auto"/>
        <w:rPr>
          <w:rFonts w:hint="eastAsia" w:ascii="黑体" w:hAnsi="黑体" w:eastAsia="黑体" w:cs="黑体"/>
          <w:snapToGrid/>
          <w:color w:val="000000" w:themeColor="text1"/>
          <w:kern w:val="0"/>
          <w:sz w:val="28"/>
          <w:szCs w:val="28"/>
          <w14:textFill>
            <w14:solidFill>
              <w14:schemeClr w14:val="tx1"/>
            </w14:solidFill>
          </w14:textFill>
        </w:rPr>
      </w:pPr>
      <w:bookmarkStart w:id="24" w:name="_Toc28359016"/>
      <w:bookmarkStart w:id="25" w:name="_Toc35393802"/>
      <w:bookmarkStart w:id="26" w:name="_Toc28359093"/>
      <w:bookmarkStart w:id="27" w:name="_Toc35393633"/>
      <w:r>
        <w:rPr>
          <w:rFonts w:hint="eastAsia" w:ascii="黑体" w:hAnsi="黑体" w:eastAsia="黑体" w:cs="黑体"/>
          <w:snapToGrid/>
          <w:color w:val="000000" w:themeColor="text1"/>
          <w:kern w:val="0"/>
          <w:sz w:val="28"/>
          <w:szCs w:val="28"/>
          <w14:textFill>
            <w14:solidFill>
              <w14:schemeClr w14:val="tx1"/>
            </w14:solidFill>
          </w14:textFill>
        </w:rPr>
        <w:t>五、开启</w:t>
      </w:r>
      <w:bookmarkEnd w:id="24"/>
      <w:bookmarkEnd w:id="25"/>
      <w:bookmarkEnd w:id="26"/>
      <w:bookmarkEnd w:id="27"/>
    </w:p>
    <w:p w14:paraId="2ACD1555">
      <w:pPr>
        <w:keepNext w:val="0"/>
        <w:keepLines w:val="0"/>
        <w:pageBreakBefore w:val="0"/>
        <w:overflowPunct/>
        <w:bidi w:val="0"/>
        <w:adjustRightInd/>
        <w:snapToGrid/>
        <w:spacing w:before="157" w:beforeLines="50" w:after="157" w:afterLines="50" w:line="240" w:lineRule="auto"/>
        <w:ind w:firstLine="560" w:firstLineChars="200"/>
        <w:rPr>
          <w:rFonts w:hint="eastAsia" w:ascii="仿宋" w:hAnsi="仿宋" w:eastAsia="仿宋" w:cs="仿宋"/>
          <w:bCs/>
          <w:snapToGrid/>
          <w:color w:val="FF0000"/>
          <w:kern w:val="0"/>
          <w:sz w:val="28"/>
          <w:szCs w:val="28"/>
        </w:rPr>
      </w:pPr>
      <w:r>
        <w:rPr>
          <w:rFonts w:hint="eastAsia" w:ascii="仿宋" w:hAnsi="仿宋" w:eastAsia="仿宋" w:cs="仿宋"/>
          <w:snapToGrid/>
          <w:color w:val="000000" w:themeColor="text1"/>
          <w:kern w:val="0"/>
          <w:sz w:val="28"/>
          <w:szCs w:val="28"/>
          <w14:textFill>
            <w14:solidFill>
              <w14:schemeClr w14:val="tx1"/>
            </w14:solidFill>
          </w14:textFill>
        </w:rPr>
        <w:t>时间：</w:t>
      </w:r>
      <w:r>
        <w:rPr>
          <w:rFonts w:hint="eastAsia" w:ascii="仿宋" w:hAnsi="仿宋" w:eastAsia="仿宋" w:cs="仿宋"/>
          <w:snapToGrid/>
          <w:color w:val="FF0000"/>
          <w:kern w:val="0"/>
          <w:sz w:val="28"/>
          <w:szCs w:val="28"/>
          <w:shd w:val="clear" w:color="auto" w:fill="FFFFFF"/>
          <w:lang w:eastAsia="zh-CN"/>
        </w:rPr>
        <w:t>2026</w:t>
      </w:r>
      <w:r>
        <w:rPr>
          <w:rFonts w:hint="eastAsia" w:ascii="仿宋" w:hAnsi="仿宋" w:eastAsia="仿宋" w:cs="仿宋"/>
          <w:snapToGrid/>
          <w:color w:val="FF0000"/>
          <w:kern w:val="0"/>
          <w:sz w:val="28"/>
          <w:szCs w:val="28"/>
          <w:shd w:val="clear" w:color="auto" w:fill="FFFFFF"/>
        </w:rPr>
        <w:t>年</w:t>
      </w:r>
      <w:r>
        <w:rPr>
          <w:rFonts w:hint="eastAsia" w:ascii="仿宋" w:hAnsi="仿宋" w:eastAsia="仿宋" w:cs="仿宋"/>
          <w:snapToGrid/>
          <w:color w:val="FF0000"/>
          <w:kern w:val="0"/>
          <w:sz w:val="28"/>
          <w:szCs w:val="28"/>
          <w:shd w:val="clear" w:color="auto" w:fill="FFFFFF"/>
          <w:lang w:eastAsia="zh-CN"/>
        </w:rPr>
        <w:t>9月28日15点</w:t>
      </w:r>
      <w:r>
        <w:rPr>
          <w:rFonts w:hint="eastAsia" w:ascii="仿宋" w:hAnsi="仿宋" w:eastAsia="仿宋" w:cs="仿宋"/>
          <w:snapToGrid/>
          <w:color w:val="FF0000"/>
          <w:kern w:val="0"/>
          <w:sz w:val="28"/>
          <w:szCs w:val="28"/>
          <w:shd w:val="clear" w:color="auto" w:fill="FFFFFF"/>
        </w:rPr>
        <w:t>00分（北京时间）</w:t>
      </w:r>
    </w:p>
    <w:p w14:paraId="514C6CBA">
      <w:pPr>
        <w:keepNext w:val="0"/>
        <w:keepLines w:val="0"/>
        <w:pageBreakBefore w:val="0"/>
        <w:overflowPunct/>
        <w:bidi w:val="0"/>
        <w:adjustRightInd/>
        <w:snapToGrid/>
        <w:spacing w:before="157" w:beforeLines="50" w:after="157" w:afterLines="50" w:line="240" w:lineRule="auto"/>
        <w:ind w:firstLine="560" w:firstLineChars="200"/>
        <w:rPr>
          <w:rFonts w:hint="eastAsia" w:ascii="仿宋" w:hAnsi="仿宋" w:eastAsia="仿宋" w:cs="仿宋"/>
          <w:snapToGrid/>
          <w:color w:val="000000" w:themeColor="text1"/>
          <w:kern w:val="0"/>
          <w:sz w:val="28"/>
          <w:szCs w:val="28"/>
          <w14:textFill>
            <w14:solidFill>
              <w14:schemeClr w14:val="tx1"/>
            </w14:solidFill>
          </w14:textFill>
        </w:rPr>
      </w:pPr>
      <w:r>
        <w:rPr>
          <w:rFonts w:hint="eastAsia" w:ascii="仿宋" w:hAnsi="仿宋" w:eastAsia="仿宋" w:cs="仿宋"/>
          <w:snapToGrid/>
          <w:color w:val="000000" w:themeColor="text1"/>
          <w:kern w:val="0"/>
          <w:sz w:val="28"/>
          <w:szCs w:val="28"/>
          <w14:textFill>
            <w14:solidFill>
              <w14:schemeClr w14:val="tx1"/>
            </w14:solidFill>
          </w14:textFill>
        </w:rPr>
        <w:t>地点：</w:t>
      </w:r>
      <w:r>
        <w:rPr>
          <w:rFonts w:hint="eastAsia" w:ascii="仿宋" w:hAnsi="仿宋" w:eastAsia="仿宋" w:cs="仿宋"/>
          <w:snapToGrid/>
          <w:color w:val="000000" w:themeColor="text1"/>
          <w:kern w:val="0"/>
          <w:sz w:val="28"/>
          <w:szCs w:val="28"/>
          <w:shd w:val="clear" w:color="auto" w:fill="FFFFFF"/>
          <w14:textFill>
            <w14:solidFill>
              <w14:schemeClr w14:val="tx1"/>
            </w14:solidFill>
          </w14:textFill>
        </w:rPr>
        <w:t>淮南市田家庵区淮河新城五期5号楼17层</w:t>
      </w:r>
    </w:p>
    <w:p w14:paraId="6C8AC929">
      <w:pPr>
        <w:keepNext w:val="0"/>
        <w:keepLines w:val="0"/>
        <w:pageBreakBefore w:val="0"/>
        <w:wordWrap w:val="0"/>
        <w:overflowPunct/>
        <w:bidi w:val="0"/>
        <w:adjustRightInd/>
        <w:snapToGrid/>
        <w:spacing w:before="157" w:beforeLines="50" w:after="157" w:afterLines="50" w:line="240" w:lineRule="auto"/>
        <w:rPr>
          <w:rFonts w:hint="eastAsia" w:ascii="黑体" w:hAnsi="黑体" w:eastAsia="黑体" w:cs="黑体"/>
          <w:snapToGrid/>
          <w:color w:val="000000" w:themeColor="text1"/>
          <w:kern w:val="0"/>
          <w:sz w:val="28"/>
          <w:szCs w:val="28"/>
          <w14:textFill>
            <w14:solidFill>
              <w14:schemeClr w14:val="tx1"/>
            </w14:solidFill>
          </w14:textFill>
        </w:rPr>
      </w:pPr>
      <w:bookmarkStart w:id="28" w:name="_Toc35393803"/>
      <w:bookmarkStart w:id="29" w:name="_Toc28359094"/>
      <w:bookmarkStart w:id="30" w:name="_Toc28359017"/>
      <w:bookmarkStart w:id="31" w:name="_Toc35393634"/>
      <w:r>
        <w:rPr>
          <w:rFonts w:hint="eastAsia" w:ascii="黑体" w:hAnsi="黑体" w:eastAsia="黑体" w:cs="黑体"/>
          <w:snapToGrid/>
          <w:color w:val="000000" w:themeColor="text1"/>
          <w:kern w:val="0"/>
          <w:sz w:val="28"/>
          <w:szCs w:val="28"/>
          <w14:textFill>
            <w14:solidFill>
              <w14:schemeClr w14:val="tx1"/>
            </w14:solidFill>
          </w14:textFill>
        </w:rPr>
        <w:t>六、公告期限</w:t>
      </w:r>
      <w:bookmarkEnd w:id="28"/>
      <w:bookmarkEnd w:id="29"/>
      <w:bookmarkEnd w:id="30"/>
      <w:bookmarkEnd w:id="31"/>
    </w:p>
    <w:p w14:paraId="0C29C6C8">
      <w:pPr>
        <w:keepNext w:val="0"/>
        <w:keepLines w:val="0"/>
        <w:pageBreakBefore w:val="0"/>
        <w:overflowPunct/>
        <w:bidi w:val="0"/>
        <w:adjustRightInd/>
        <w:snapToGrid/>
        <w:spacing w:before="157" w:beforeLines="50" w:after="157" w:afterLines="50" w:line="240" w:lineRule="auto"/>
        <w:ind w:firstLine="560" w:firstLineChars="200"/>
        <w:rPr>
          <w:rFonts w:hint="eastAsia" w:ascii="仿宋" w:hAnsi="仿宋" w:eastAsia="仿宋" w:cs="仿宋"/>
          <w:snapToGrid/>
          <w:color w:val="000000" w:themeColor="text1"/>
          <w:spacing w:val="0"/>
          <w:kern w:val="0"/>
          <w:sz w:val="28"/>
          <w:szCs w:val="28"/>
          <w:lang w:eastAsia="zh-CN"/>
          <w14:textFill>
            <w14:solidFill>
              <w14:schemeClr w14:val="tx1"/>
            </w14:solidFill>
          </w14:textFill>
        </w:rPr>
      </w:pPr>
      <w:r>
        <w:rPr>
          <w:rFonts w:hint="eastAsia" w:ascii="仿宋" w:hAnsi="仿宋" w:eastAsia="仿宋" w:cs="仿宋"/>
          <w:snapToGrid/>
          <w:color w:val="000000" w:themeColor="text1"/>
          <w:kern w:val="0"/>
          <w:sz w:val="28"/>
          <w:szCs w:val="28"/>
          <w14:textFill>
            <w14:solidFill>
              <w14:schemeClr w14:val="tx1"/>
            </w14:solidFill>
          </w14:textFill>
        </w:rPr>
        <w:t>自本公告发布之日起3个工作日。</w:t>
      </w:r>
    </w:p>
    <w:p w14:paraId="5A802469">
      <w:pPr>
        <w:keepNext w:val="0"/>
        <w:keepLines w:val="0"/>
        <w:pageBreakBefore w:val="0"/>
        <w:widowControl w:val="0"/>
        <w:kinsoku/>
        <w:wordWrap w:val="0"/>
        <w:overflowPunct/>
        <w:topLinePunct w:val="0"/>
        <w:autoSpaceDE/>
        <w:autoSpaceDN/>
        <w:bidi w:val="0"/>
        <w:adjustRightInd/>
        <w:snapToGrid/>
        <w:spacing w:before="157" w:beforeLines="50" w:after="157" w:afterLines="50" w:line="240" w:lineRule="auto"/>
        <w:ind w:right="0" w:rightChars="0"/>
        <w:contextualSpacing/>
        <w:rPr>
          <w:rFonts w:ascii="黑体" w:hAnsi="黑体" w:eastAsia="黑体" w:cs="黑体"/>
          <w:snapToGrid/>
          <w:color w:val="000000" w:themeColor="text1"/>
          <w:kern w:val="0"/>
          <w:sz w:val="28"/>
          <w:szCs w:val="28"/>
          <w:highlight w:val="none"/>
          <w14:textFill>
            <w14:solidFill>
              <w14:schemeClr w14:val="tx1"/>
            </w14:solidFill>
          </w14:textFill>
        </w:rPr>
      </w:pPr>
      <w:r>
        <w:rPr>
          <w:rFonts w:hint="eastAsia" w:ascii="黑体" w:hAnsi="黑体" w:eastAsia="黑体" w:cs="黑体"/>
          <w:snapToGrid/>
          <w:color w:val="000000" w:themeColor="text1"/>
          <w:kern w:val="0"/>
          <w:sz w:val="28"/>
          <w:szCs w:val="28"/>
          <w:highlight w:val="none"/>
          <w14:textFill>
            <w14:solidFill>
              <w14:schemeClr w14:val="tx1"/>
            </w14:solidFill>
          </w14:textFill>
        </w:rPr>
        <w:t>七、其他补充事宜</w:t>
      </w:r>
      <w:bookmarkEnd w:id="10"/>
      <w:bookmarkEnd w:id="11"/>
    </w:p>
    <w:p w14:paraId="78C9850C">
      <w:pPr>
        <w:keepNext w:val="0"/>
        <w:keepLines w:val="0"/>
        <w:pageBreakBefore w:val="0"/>
        <w:widowControl/>
        <w:kinsoku/>
        <w:wordWrap w:val="0"/>
        <w:overflowPunct/>
        <w:topLinePunct w:val="0"/>
        <w:autoSpaceDE/>
        <w:autoSpaceDN/>
        <w:bidi w:val="0"/>
        <w:adjustRightInd w:val="0"/>
        <w:snapToGrid w:val="0"/>
        <w:spacing w:before="157" w:beforeLines="50" w:after="157" w:afterLines="50" w:line="360" w:lineRule="auto"/>
        <w:ind w:right="0" w:firstLine="560" w:firstLineChars="200"/>
        <w:jc w:val="left"/>
        <w:textAlignment w:val="auto"/>
        <w:rPr>
          <w:rFonts w:hint="eastAsia" w:ascii="仿宋" w:hAnsi="仿宋" w:eastAsia="仿宋" w:cs="仿宋"/>
          <w:snapToGrid/>
          <w:color w:val="000000"/>
          <w:kern w:val="0"/>
          <w:sz w:val="28"/>
          <w:szCs w:val="28"/>
          <w:highlight w:val="none"/>
        </w:rPr>
      </w:pPr>
      <w:r>
        <w:rPr>
          <w:rFonts w:hint="eastAsia" w:ascii="仿宋" w:hAnsi="仿宋" w:eastAsia="仿宋" w:cs="仿宋"/>
          <w:snapToGrid/>
          <w:color w:val="000000"/>
          <w:kern w:val="0"/>
          <w:sz w:val="28"/>
          <w:szCs w:val="28"/>
          <w:highlight w:val="none"/>
        </w:rPr>
        <w:t>1</w:t>
      </w:r>
      <w:r>
        <w:rPr>
          <w:rFonts w:hint="eastAsia" w:ascii="仿宋" w:hAnsi="仿宋" w:eastAsia="仿宋" w:cs="仿宋"/>
          <w:snapToGrid/>
          <w:color w:val="000000"/>
          <w:kern w:val="0"/>
          <w:sz w:val="28"/>
          <w:szCs w:val="28"/>
          <w:highlight w:val="none"/>
          <w:lang w:val="en-US" w:eastAsia="zh-CN"/>
        </w:rPr>
        <w:t>.</w:t>
      </w:r>
      <w:r>
        <w:rPr>
          <w:rFonts w:hint="eastAsia" w:ascii="仿宋" w:hAnsi="仿宋" w:eastAsia="仿宋" w:cs="仿宋"/>
          <w:snapToGrid/>
          <w:color w:val="000000"/>
          <w:kern w:val="0"/>
          <w:sz w:val="28"/>
          <w:szCs w:val="28"/>
          <w:highlight w:val="none"/>
        </w:rPr>
        <w:t>本项目免收</w:t>
      </w:r>
      <w:r>
        <w:rPr>
          <w:rFonts w:hint="eastAsia" w:ascii="仿宋" w:hAnsi="仿宋" w:eastAsia="仿宋" w:cs="仿宋"/>
          <w:snapToGrid/>
          <w:color w:val="000000"/>
          <w:kern w:val="0"/>
          <w:sz w:val="28"/>
          <w:szCs w:val="28"/>
          <w:highlight w:val="none"/>
          <w:lang w:val="en-US" w:eastAsia="zh-CN"/>
        </w:rPr>
        <w:t>磋商</w:t>
      </w:r>
      <w:r>
        <w:rPr>
          <w:rFonts w:hint="eastAsia" w:ascii="仿宋" w:hAnsi="仿宋" w:eastAsia="仿宋" w:cs="仿宋"/>
          <w:snapToGrid/>
          <w:color w:val="000000"/>
          <w:kern w:val="0"/>
          <w:sz w:val="28"/>
          <w:szCs w:val="28"/>
          <w:highlight w:val="none"/>
        </w:rPr>
        <w:t>保证金。</w:t>
      </w:r>
    </w:p>
    <w:p w14:paraId="408343DF">
      <w:pPr>
        <w:pStyle w:val="27"/>
        <w:keepNext w:val="0"/>
        <w:keepLines w:val="0"/>
        <w:pageBreakBefore w:val="0"/>
        <w:widowControl/>
        <w:kinsoku/>
        <w:wordWrap w:val="0"/>
        <w:overflowPunct/>
        <w:topLinePunct w:val="0"/>
        <w:autoSpaceDE/>
        <w:autoSpaceDN/>
        <w:bidi w:val="0"/>
        <w:adjustRightInd/>
        <w:snapToGrid/>
        <w:spacing w:before="157" w:beforeLines="50" w:beforeAutospacing="0" w:after="157" w:afterLines="50" w:afterAutospacing="0" w:line="240" w:lineRule="auto"/>
        <w:ind w:left="0" w:leftChars="0" w:right="0" w:rightChars="0" w:firstLine="560" w:firstLineChars="200"/>
        <w:jc w:val="both"/>
        <w:textAlignment w:val="auto"/>
        <w:rPr>
          <w:rFonts w:hint="eastAsia" w:ascii="仿宋" w:hAnsi="仿宋" w:eastAsia="仿宋" w:cs="仿宋"/>
          <w:snapToGrid/>
          <w:color w:val="000000"/>
          <w:kern w:val="0"/>
          <w:sz w:val="28"/>
          <w:szCs w:val="28"/>
          <w:highlight w:val="none"/>
          <w:lang w:eastAsia="zh-CN"/>
        </w:rPr>
      </w:pPr>
      <w:r>
        <w:rPr>
          <w:rFonts w:hint="eastAsia" w:ascii="仿宋" w:hAnsi="仿宋" w:eastAsia="仿宋" w:cs="仿宋"/>
          <w:color w:val="auto"/>
          <w:sz w:val="28"/>
          <w:szCs w:val="28"/>
          <w:highlight w:val="none"/>
          <w:lang w:val="en-US" w:eastAsia="zh-CN"/>
        </w:rPr>
        <w:t>2、发布媒介：</w:t>
      </w:r>
      <w:r>
        <w:rPr>
          <w:rFonts w:hint="eastAsia" w:ascii="仿宋" w:hAnsi="仿宋" w:eastAsia="仿宋" w:cs="仿宋"/>
          <w:snapToGrid/>
          <w:color w:val="000000"/>
          <w:kern w:val="0"/>
          <w:sz w:val="28"/>
          <w:szCs w:val="28"/>
          <w:highlight w:val="yellow"/>
          <w:lang w:eastAsia="zh-CN"/>
        </w:rPr>
        <w:t>国家煤化工产品质量监督检验中心（安徽）（淮南市产品质量监督检验所）（http://www.hnzjs.org.cn/html/）</w:t>
      </w:r>
      <w:r>
        <w:rPr>
          <w:rFonts w:hint="eastAsia" w:ascii="仿宋" w:hAnsi="仿宋" w:eastAsia="仿宋" w:cs="仿宋"/>
          <w:color w:val="auto"/>
          <w:sz w:val="28"/>
          <w:szCs w:val="28"/>
          <w:highlight w:val="yellow"/>
          <w:lang w:val="en-US" w:eastAsia="zh-CN"/>
        </w:rPr>
        <w:t>、淮南市公共资源交易中心网(http://jy.ggj.huainan.gov.cn/)</w:t>
      </w:r>
      <w:r>
        <w:rPr>
          <w:rFonts w:hint="eastAsia" w:ascii="仿宋" w:hAnsi="仿宋" w:eastAsia="仿宋" w:cs="仿宋"/>
          <w:snapToGrid/>
          <w:color w:val="000000"/>
          <w:kern w:val="0"/>
          <w:sz w:val="28"/>
          <w:szCs w:val="28"/>
          <w:highlight w:val="yellow"/>
          <w:lang w:eastAsia="zh-CN"/>
        </w:rPr>
        <w:t>网上发布</w:t>
      </w:r>
      <w:r>
        <w:rPr>
          <w:rFonts w:hint="eastAsia" w:ascii="仿宋" w:hAnsi="仿宋" w:eastAsia="仿宋" w:cs="仿宋"/>
          <w:snapToGrid/>
          <w:color w:val="000000"/>
          <w:kern w:val="0"/>
          <w:sz w:val="28"/>
          <w:szCs w:val="28"/>
          <w:highlight w:val="none"/>
          <w:lang w:eastAsia="zh-CN"/>
        </w:rPr>
        <w:t>，请供应商随时关注网上信息。如因供应商没有及时关注网站信息造成的后果由供应商自行承担。</w:t>
      </w:r>
    </w:p>
    <w:p w14:paraId="046E1F48">
      <w:pPr>
        <w:pStyle w:val="27"/>
        <w:keepNext w:val="0"/>
        <w:keepLines w:val="0"/>
        <w:pageBreakBefore w:val="0"/>
        <w:widowControl w:val="0"/>
        <w:kinsoku/>
        <w:wordWrap w:val="0"/>
        <w:overflowPunct/>
        <w:topLinePunct w:val="0"/>
        <w:autoSpaceDE/>
        <w:autoSpaceDN/>
        <w:bidi w:val="0"/>
        <w:adjustRightInd/>
        <w:snapToGrid w:val="0"/>
        <w:spacing w:before="157" w:beforeLines="50" w:beforeAutospacing="0" w:after="157" w:afterLines="50" w:afterAutospacing="0" w:line="360" w:lineRule="auto"/>
        <w:ind w:firstLine="560" w:firstLineChars="200"/>
        <w:textAlignment w:val="auto"/>
        <w:rPr>
          <w:rFonts w:hint="eastAsia" w:ascii="仿宋" w:hAnsi="仿宋" w:eastAsia="仿宋" w:cs="仿宋"/>
          <w:snapToGrid/>
          <w:color w:val="000000" w:themeColor="text1"/>
          <w:kern w:val="0"/>
          <w:sz w:val="28"/>
          <w:szCs w:val="28"/>
          <w:highlight w:val="none"/>
          <w:shd w:val="clear" w:color="auto" w:fill="auto"/>
          <w:lang w:val="en-US" w:eastAsia="zh-CN"/>
          <w14:textFill>
            <w14:solidFill>
              <w14:schemeClr w14:val="tx1"/>
            </w14:solidFill>
          </w14:textFill>
        </w:rPr>
      </w:pPr>
      <w:r>
        <w:rPr>
          <w:rFonts w:hint="eastAsia" w:ascii="仿宋" w:hAnsi="仿宋" w:eastAsia="仿宋" w:cs="仿宋"/>
          <w:snapToGrid/>
          <w:color w:val="000000" w:themeColor="text1"/>
          <w:kern w:val="0"/>
          <w:sz w:val="28"/>
          <w:szCs w:val="28"/>
          <w:highlight w:val="none"/>
          <w:shd w:val="clear" w:color="auto" w:fill="auto"/>
          <w:lang w:val="en-US" w:eastAsia="zh-CN"/>
          <w14:textFill>
            <w14:solidFill>
              <w14:schemeClr w14:val="tx1"/>
            </w14:solidFill>
          </w14:textFill>
        </w:rPr>
        <w:t>3</w:t>
      </w:r>
      <w:bookmarkStart w:id="32" w:name="OLE_LINK3"/>
      <w:r>
        <w:rPr>
          <w:rFonts w:hint="eastAsia" w:ascii="仿宋" w:hAnsi="仿宋" w:eastAsia="仿宋" w:cs="仿宋"/>
          <w:snapToGrid/>
          <w:color w:val="000000" w:themeColor="text1"/>
          <w:kern w:val="0"/>
          <w:sz w:val="28"/>
          <w:szCs w:val="28"/>
          <w:highlight w:val="none"/>
          <w:shd w:val="clear" w:color="auto" w:fill="auto"/>
          <w:lang w:val="en-US" w:eastAsia="zh-CN"/>
          <w14:textFill>
            <w14:solidFill>
              <w14:schemeClr w14:val="tx1"/>
            </w14:solidFill>
          </w14:textFill>
        </w:rPr>
        <w:t>.本项目现场只允许各潜在供应商委派一名工作人员前来开标现场并持有效证件及授权委托书。</w:t>
      </w:r>
    </w:p>
    <w:bookmarkEnd w:id="32"/>
    <w:p w14:paraId="3C358CCC">
      <w:pPr>
        <w:pStyle w:val="27"/>
        <w:keepNext w:val="0"/>
        <w:keepLines w:val="0"/>
        <w:pageBreakBefore w:val="0"/>
        <w:overflowPunct/>
        <w:bidi w:val="0"/>
        <w:adjustRightInd/>
        <w:snapToGrid/>
        <w:spacing w:before="157" w:beforeLines="50" w:beforeAutospacing="0" w:after="157" w:afterLines="50" w:afterAutospacing="0" w:line="240" w:lineRule="auto"/>
        <w:ind w:firstLine="560"/>
        <w:jc w:val="both"/>
        <w:rPr>
          <w:snapToGrid/>
          <w:color w:val="000000" w:themeColor="text1"/>
          <w:highlight w:val="none"/>
          <w14:textFill>
            <w14:solidFill>
              <w14:schemeClr w14:val="tx1"/>
            </w14:solidFill>
          </w14:textFill>
        </w:rPr>
      </w:pPr>
      <w:r>
        <w:rPr>
          <w:rFonts w:hint="eastAsia" w:ascii="仿宋" w:hAnsi="仿宋" w:eastAsia="仿宋" w:cs="仿宋"/>
          <w:snapToGrid/>
          <w:color w:val="000000" w:themeColor="text1"/>
          <w:kern w:val="0"/>
          <w:sz w:val="28"/>
          <w:szCs w:val="28"/>
          <w:highlight w:val="none"/>
          <w:shd w:val="clear" w:color="auto" w:fill="FFFFFF"/>
          <w:lang w:val="en-US" w:eastAsia="zh-CN"/>
          <w14:textFill>
            <w14:solidFill>
              <w14:schemeClr w14:val="tx1"/>
            </w14:solidFill>
          </w14:textFill>
        </w:rPr>
        <w:t>4、</w:t>
      </w:r>
      <w:r>
        <w:rPr>
          <w:rFonts w:hint="eastAsia" w:ascii="仿宋" w:hAnsi="仿宋" w:eastAsia="仿宋" w:cs="仿宋"/>
          <w:snapToGrid/>
          <w:color w:val="000000" w:themeColor="text1"/>
          <w:sz w:val="28"/>
          <w:szCs w:val="28"/>
          <w:shd w:val="clear" w:color="auto" w:fill="FFFFFF"/>
          <w14:textFill>
            <w14:solidFill>
              <w14:schemeClr w14:val="tx1"/>
            </w14:solidFill>
          </w14:textFill>
        </w:rPr>
        <w:t>异议（质疑）联系人：</w:t>
      </w:r>
      <w:r>
        <w:rPr>
          <w:rFonts w:hint="eastAsia" w:ascii="仿宋" w:hAnsi="仿宋" w:eastAsia="仿宋" w:cs="仿宋"/>
          <w:snapToGrid/>
          <w:color w:val="000000" w:themeColor="text1"/>
          <w:sz w:val="28"/>
          <w:szCs w:val="28"/>
          <w:highlight w:val="none"/>
          <w:shd w:val="clear" w:color="auto" w:fill="FFFFFF"/>
          <w:lang w:eastAsia="zh-CN"/>
          <w14:textFill>
            <w14:solidFill>
              <w14:schemeClr w14:val="tx1"/>
            </w14:solidFill>
          </w14:textFill>
        </w:rPr>
        <w:t>靳师琪</w:t>
      </w:r>
      <w:r>
        <w:rPr>
          <w:rFonts w:hint="eastAsia" w:ascii="仿宋" w:hAnsi="仿宋" w:eastAsia="仿宋" w:cs="仿宋"/>
          <w:snapToGrid/>
          <w:color w:val="000000" w:themeColor="text1"/>
          <w:sz w:val="28"/>
          <w:szCs w:val="28"/>
          <w:highlight w:val="none"/>
          <w:shd w:val="clear" w:color="auto" w:fill="FFFFFF"/>
          <w14:textFill>
            <w14:solidFill>
              <w14:schemeClr w14:val="tx1"/>
            </w14:solidFill>
          </w14:textFill>
        </w:rPr>
        <w:t>（采购人代表）、</w:t>
      </w:r>
      <w:r>
        <w:rPr>
          <w:rFonts w:hint="eastAsia" w:ascii="仿宋" w:hAnsi="仿宋" w:eastAsia="仿宋" w:cs="仿宋"/>
          <w:snapToGrid/>
          <w:color w:val="000000" w:themeColor="text1"/>
          <w:sz w:val="28"/>
          <w:szCs w:val="28"/>
          <w:highlight w:val="none"/>
          <w:shd w:val="clear" w:color="auto" w:fill="FFFFFF"/>
          <w:lang w:eastAsia="zh-CN"/>
          <w14:textFill>
            <w14:solidFill>
              <w14:schemeClr w14:val="tx1"/>
            </w14:solidFill>
          </w14:textFill>
        </w:rPr>
        <w:t>张红红</w:t>
      </w:r>
      <w:r>
        <w:rPr>
          <w:rFonts w:hint="eastAsia" w:ascii="仿宋" w:hAnsi="仿宋" w:eastAsia="仿宋" w:cs="仿宋"/>
          <w:snapToGrid/>
          <w:color w:val="000000" w:themeColor="text1"/>
          <w:sz w:val="28"/>
          <w:szCs w:val="28"/>
          <w:highlight w:val="none"/>
          <w:shd w:val="clear" w:color="auto" w:fill="FFFFFF"/>
          <w14:textFill>
            <w14:solidFill>
              <w14:schemeClr w14:val="tx1"/>
            </w14:solidFill>
          </w14:textFill>
        </w:rPr>
        <w:t>（代理机构）；</w:t>
      </w:r>
    </w:p>
    <w:p w14:paraId="12B75F96">
      <w:pPr>
        <w:pStyle w:val="27"/>
        <w:keepNext w:val="0"/>
        <w:keepLines w:val="0"/>
        <w:pageBreakBefore w:val="0"/>
        <w:overflowPunct/>
        <w:bidi w:val="0"/>
        <w:adjustRightInd/>
        <w:snapToGrid/>
        <w:spacing w:before="157" w:beforeLines="50" w:beforeAutospacing="0" w:after="157" w:afterLines="50" w:afterAutospacing="0" w:line="240" w:lineRule="auto"/>
        <w:ind w:firstLine="561"/>
        <w:rPr>
          <w:rFonts w:hint="eastAsia" w:eastAsia="仿宋"/>
          <w:snapToGrid/>
          <w:color w:val="000000" w:themeColor="text1"/>
          <w:highlight w:val="none"/>
          <w:lang w:eastAsia="zh-CN"/>
          <w14:textFill>
            <w14:solidFill>
              <w14:schemeClr w14:val="tx1"/>
            </w14:solidFill>
          </w14:textFill>
        </w:rPr>
      </w:pPr>
      <w:r>
        <w:rPr>
          <w:rFonts w:hint="eastAsia" w:ascii="仿宋" w:hAnsi="仿宋" w:eastAsia="仿宋" w:cs="仿宋"/>
          <w:snapToGrid/>
          <w:color w:val="000000" w:themeColor="text1"/>
          <w:sz w:val="28"/>
          <w:szCs w:val="28"/>
          <w:highlight w:val="none"/>
          <w:shd w:val="clear" w:color="auto" w:fill="FFFFFF"/>
          <w14:textFill>
            <w14:solidFill>
              <w14:schemeClr w14:val="tx1"/>
            </w14:solidFill>
          </w14:textFill>
        </w:rPr>
        <w:t>异议（质疑）联系方式：</w:t>
      </w:r>
      <w:r>
        <w:rPr>
          <w:rFonts w:hint="eastAsia" w:ascii="仿宋" w:hAnsi="仿宋" w:eastAsia="仿宋" w:cs="仿宋"/>
          <w:snapToGrid/>
          <w:color w:val="000000" w:themeColor="text1"/>
          <w:sz w:val="28"/>
          <w:szCs w:val="28"/>
          <w:highlight w:val="none"/>
          <w:shd w:val="clear" w:color="auto" w:fill="FFFFFF"/>
          <w:lang w:eastAsia="zh-CN"/>
          <w14:textFill>
            <w14:solidFill>
              <w14:schemeClr w14:val="tx1"/>
            </w14:solidFill>
          </w14:textFill>
        </w:rPr>
        <w:t>17755485285</w:t>
      </w:r>
      <w:r>
        <w:rPr>
          <w:rFonts w:hint="eastAsia" w:ascii="仿宋" w:hAnsi="仿宋" w:eastAsia="仿宋" w:cs="仿宋"/>
          <w:snapToGrid/>
          <w:color w:val="000000" w:themeColor="text1"/>
          <w:sz w:val="28"/>
          <w:szCs w:val="28"/>
          <w:highlight w:val="none"/>
          <w:shd w:val="clear" w:color="auto" w:fill="FFFFFF"/>
          <w14:textFill>
            <w14:solidFill>
              <w14:schemeClr w14:val="tx1"/>
            </w14:solidFill>
          </w14:textFill>
        </w:rPr>
        <w:t>、</w:t>
      </w:r>
      <w:r>
        <w:rPr>
          <w:rFonts w:hint="eastAsia" w:ascii="仿宋" w:hAnsi="仿宋" w:eastAsia="仿宋" w:cs="仿宋"/>
          <w:snapToGrid/>
          <w:color w:val="000000" w:themeColor="text1"/>
          <w:sz w:val="28"/>
          <w:szCs w:val="28"/>
          <w:highlight w:val="none"/>
          <w:shd w:val="clear" w:color="auto" w:fill="FFFFFF"/>
          <w:lang w:eastAsia="zh-CN"/>
          <w14:textFill>
            <w14:solidFill>
              <w14:schemeClr w14:val="tx1"/>
            </w14:solidFill>
          </w14:textFill>
        </w:rPr>
        <w:t>18655420472</w:t>
      </w:r>
    </w:p>
    <w:p w14:paraId="0617DBA4">
      <w:pPr>
        <w:keepNext w:val="0"/>
        <w:keepLines w:val="0"/>
        <w:pageBreakBefore w:val="0"/>
        <w:wordWrap w:val="0"/>
        <w:overflowPunct/>
        <w:bidi w:val="0"/>
        <w:adjustRightInd/>
        <w:snapToGrid/>
        <w:spacing w:before="157" w:beforeLines="50" w:after="157" w:afterLines="50" w:line="240" w:lineRule="auto"/>
        <w:ind w:firstLine="560" w:firstLineChars="200"/>
        <w:contextualSpacing/>
        <w:jc w:val="left"/>
        <w:rPr>
          <w:rStyle w:val="52"/>
          <w:rFonts w:hint="eastAsia" w:ascii="黑体" w:hAnsi="黑体" w:eastAsia="黑体" w:cs="黑体"/>
          <w:snapToGrid/>
          <w:color w:val="000000" w:themeColor="text1"/>
          <w:kern w:val="0"/>
          <w:sz w:val="28"/>
          <w:szCs w:val="28"/>
          <w14:textFill>
            <w14:solidFill>
              <w14:schemeClr w14:val="tx1"/>
            </w14:solidFill>
          </w14:textFill>
        </w:rPr>
      </w:pPr>
      <w:r>
        <w:rPr>
          <w:rStyle w:val="52"/>
          <w:rFonts w:hint="eastAsia" w:ascii="黑体" w:hAnsi="黑体" w:eastAsia="黑体" w:cs="黑体"/>
          <w:snapToGrid/>
          <w:color w:val="000000" w:themeColor="text1"/>
          <w:kern w:val="0"/>
          <w:sz w:val="28"/>
          <w:szCs w:val="28"/>
          <w14:textFill>
            <w14:solidFill>
              <w14:schemeClr w14:val="tx1"/>
            </w14:solidFill>
          </w14:textFill>
        </w:rPr>
        <w:t>八、凡对本次采购提出询问，请按以下方式联系</w:t>
      </w:r>
    </w:p>
    <w:p w14:paraId="6E2CF0EA">
      <w:pPr>
        <w:keepNext w:val="0"/>
        <w:keepLines w:val="0"/>
        <w:pageBreakBefore w:val="0"/>
        <w:wordWrap w:val="0"/>
        <w:overflowPunct/>
        <w:bidi w:val="0"/>
        <w:adjustRightInd/>
        <w:snapToGrid/>
        <w:spacing w:before="157" w:beforeLines="50" w:after="157" w:afterLines="50" w:line="240" w:lineRule="auto"/>
        <w:ind w:firstLine="560" w:firstLineChars="200"/>
        <w:contextualSpacing/>
        <w:jc w:val="left"/>
        <w:rPr>
          <w:rStyle w:val="52"/>
          <w:rFonts w:hint="eastAsia" w:ascii="仿宋" w:hAnsi="仿宋" w:eastAsia="仿宋" w:cs="仿宋"/>
          <w:snapToGrid/>
          <w:color w:val="000000" w:themeColor="text1"/>
          <w:kern w:val="0"/>
          <w:sz w:val="28"/>
          <w:szCs w:val="28"/>
          <w14:textFill>
            <w14:solidFill>
              <w14:schemeClr w14:val="tx1"/>
            </w14:solidFill>
          </w14:textFill>
        </w:rPr>
      </w:pPr>
      <w:r>
        <w:rPr>
          <w:rStyle w:val="52"/>
          <w:rFonts w:hint="eastAsia" w:ascii="仿宋" w:hAnsi="仿宋" w:eastAsia="仿宋" w:cs="仿宋"/>
          <w:snapToGrid/>
          <w:color w:val="000000" w:themeColor="text1"/>
          <w:kern w:val="0"/>
          <w:sz w:val="28"/>
          <w:szCs w:val="28"/>
          <w14:textFill>
            <w14:solidFill>
              <w14:schemeClr w14:val="tx1"/>
            </w14:solidFill>
          </w14:textFill>
        </w:rPr>
        <w:t>1.采购人信息</w:t>
      </w:r>
    </w:p>
    <w:p w14:paraId="4F34066E">
      <w:pPr>
        <w:keepNext w:val="0"/>
        <w:keepLines w:val="0"/>
        <w:pageBreakBefore w:val="0"/>
        <w:wordWrap w:val="0"/>
        <w:overflowPunct/>
        <w:bidi w:val="0"/>
        <w:adjustRightInd/>
        <w:snapToGrid/>
        <w:spacing w:before="157" w:beforeLines="50" w:after="157" w:afterLines="50" w:line="240" w:lineRule="auto"/>
        <w:ind w:firstLine="560" w:firstLineChars="200"/>
        <w:contextualSpacing/>
        <w:jc w:val="left"/>
        <w:rPr>
          <w:rStyle w:val="52"/>
          <w:rFonts w:hint="eastAsia" w:ascii="仿宋" w:hAnsi="仿宋" w:eastAsia="仿宋" w:cs="仿宋"/>
          <w:snapToGrid/>
          <w:color w:val="000000" w:themeColor="text1"/>
          <w:kern w:val="0"/>
          <w:sz w:val="28"/>
          <w:szCs w:val="28"/>
          <w14:textFill>
            <w14:solidFill>
              <w14:schemeClr w14:val="tx1"/>
            </w14:solidFill>
          </w14:textFill>
        </w:rPr>
      </w:pPr>
      <w:r>
        <w:rPr>
          <w:rStyle w:val="52"/>
          <w:rFonts w:hint="eastAsia" w:ascii="仿宋" w:hAnsi="仿宋" w:eastAsia="仿宋" w:cs="仿宋"/>
          <w:snapToGrid/>
          <w:color w:val="000000" w:themeColor="text1"/>
          <w:kern w:val="0"/>
          <w:sz w:val="28"/>
          <w:szCs w:val="28"/>
          <w14:textFill>
            <w14:solidFill>
              <w14:schemeClr w14:val="tx1"/>
            </w14:solidFill>
          </w14:textFill>
        </w:rPr>
        <w:t>名   称：国家煤化工产品质量</w:t>
      </w:r>
      <w:r>
        <w:rPr>
          <w:rStyle w:val="52"/>
          <w:rFonts w:hint="eastAsia" w:ascii="仿宋" w:hAnsi="仿宋" w:eastAsia="仿宋" w:cs="仿宋"/>
          <w:snapToGrid/>
          <w:color w:val="000000" w:themeColor="text1"/>
          <w:kern w:val="0"/>
          <w:sz w:val="28"/>
          <w:szCs w:val="28"/>
          <w:highlight w:val="none"/>
          <w14:textFill>
            <w14:solidFill>
              <w14:schemeClr w14:val="tx1"/>
            </w14:solidFill>
          </w14:textFill>
        </w:rPr>
        <w:t>检验检测中心</w:t>
      </w:r>
      <w:r>
        <w:rPr>
          <w:rStyle w:val="52"/>
          <w:rFonts w:hint="eastAsia" w:ascii="仿宋" w:hAnsi="仿宋" w:eastAsia="仿宋" w:cs="仿宋"/>
          <w:snapToGrid/>
          <w:color w:val="000000" w:themeColor="text1"/>
          <w:kern w:val="0"/>
          <w:sz w:val="28"/>
          <w:szCs w:val="28"/>
          <w14:textFill>
            <w14:solidFill>
              <w14:schemeClr w14:val="tx1"/>
            </w14:solidFill>
          </w14:textFill>
        </w:rPr>
        <w:t>（安徽）（淮南市产品质量监督检验所）</w:t>
      </w:r>
    </w:p>
    <w:p w14:paraId="1EB86B42">
      <w:pPr>
        <w:keepNext w:val="0"/>
        <w:keepLines w:val="0"/>
        <w:pageBreakBefore w:val="0"/>
        <w:wordWrap w:val="0"/>
        <w:overflowPunct/>
        <w:bidi w:val="0"/>
        <w:adjustRightInd/>
        <w:snapToGrid/>
        <w:spacing w:before="157" w:beforeLines="50" w:after="157" w:afterLines="50" w:line="240" w:lineRule="auto"/>
        <w:ind w:firstLine="560" w:firstLineChars="200"/>
        <w:contextualSpacing/>
        <w:jc w:val="left"/>
        <w:rPr>
          <w:rStyle w:val="52"/>
          <w:rFonts w:hint="eastAsia" w:ascii="仿宋" w:hAnsi="仿宋" w:eastAsia="仿宋" w:cs="仿宋"/>
          <w:snapToGrid/>
          <w:color w:val="000000" w:themeColor="text1"/>
          <w:kern w:val="0"/>
          <w:sz w:val="28"/>
          <w:szCs w:val="28"/>
          <w14:textFill>
            <w14:solidFill>
              <w14:schemeClr w14:val="tx1"/>
            </w14:solidFill>
          </w14:textFill>
        </w:rPr>
      </w:pPr>
      <w:r>
        <w:rPr>
          <w:rStyle w:val="52"/>
          <w:rFonts w:hint="eastAsia" w:ascii="仿宋" w:hAnsi="仿宋" w:eastAsia="仿宋" w:cs="仿宋"/>
          <w:snapToGrid/>
          <w:color w:val="000000" w:themeColor="text1"/>
          <w:kern w:val="0"/>
          <w:sz w:val="28"/>
          <w:szCs w:val="28"/>
          <w14:textFill>
            <w14:solidFill>
              <w14:schemeClr w14:val="tx1"/>
            </w14:solidFill>
          </w14:textFill>
        </w:rPr>
        <w:t>地   址：淮南市山南新区南纬十路北侧</w:t>
      </w:r>
    </w:p>
    <w:p w14:paraId="1B284053">
      <w:pPr>
        <w:keepNext w:val="0"/>
        <w:keepLines w:val="0"/>
        <w:pageBreakBefore w:val="0"/>
        <w:wordWrap w:val="0"/>
        <w:overflowPunct/>
        <w:bidi w:val="0"/>
        <w:adjustRightInd/>
        <w:snapToGrid/>
        <w:spacing w:before="157" w:beforeLines="50" w:after="157" w:afterLines="50" w:line="240" w:lineRule="auto"/>
        <w:ind w:firstLine="560" w:firstLineChars="200"/>
        <w:contextualSpacing/>
        <w:jc w:val="left"/>
        <w:rPr>
          <w:rStyle w:val="52"/>
          <w:rFonts w:hint="eastAsia" w:ascii="仿宋" w:hAnsi="仿宋" w:eastAsia="仿宋" w:cs="仿宋"/>
          <w:snapToGrid/>
          <w:color w:val="000000" w:themeColor="text1"/>
          <w:kern w:val="0"/>
          <w:sz w:val="28"/>
          <w:szCs w:val="28"/>
          <w14:textFill>
            <w14:solidFill>
              <w14:schemeClr w14:val="tx1"/>
            </w14:solidFill>
          </w14:textFill>
        </w:rPr>
      </w:pPr>
      <w:r>
        <w:rPr>
          <w:rStyle w:val="52"/>
          <w:rFonts w:hint="eastAsia" w:ascii="仿宋" w:hAnsi="仿宋" w:eastAsia="仿宋" w:cs="仿宋"/>
          <w:snapToGrid/>
          <w:color w:val="000000" w:themeColor="text1"/>
          <w:kern w:val="0"/>
          <w:sz w:val="28"/>
          <w:szCs w:val="28"/>
          <w14:textFill>
            <w14:solidFill>
              <w14:schemeClr w14:val="tx1"/>
            </w14:solidFill>
          </w14:textFill>
        </w:rPr>
        <w:t>联系方式：17755485285</w:t>
      </w:r>
    </w:p>
    <w:p w14:paraId="1798602C">
      <w:pPr>
        <w:keepNext w:val="0"/>
        <w:keepLines w:val="0"/>
        <w:pageBreakBefore w:val="0"/>
        <w:wordWrap w:val="0"/>
        <w:overflowPunct/>
        <w:bidi w:val="0"/>
        <w:adjustRightInd/>
        <w:snapToGrid/>
        <w:spacing w:before="157" w:beforeLines="50" w:after="157" w:afterLines="50" w:line="240" w:lineRule="auto"/>
        <w:ind w:firstLine="560" w:firstLineChars="200"/>
        <w:contextualSpacing/>
        <w:jc w:val="left"/>
        <w:rPr>
          <w:rStyle w:val="52"/>
          <w:rFonts w:hint="eastAsia" w:ascii="仿宋" w:hAnsi="仿宋" w:eastAsia="仿宋" w:cs="仿宋"/>
          <w:snapToGrid/>
          <w:color w:val="000000" w:themeColor="text1"/>
          <w:kern w:val="0"/>
          <w:sz w:val="28"/>
          <w:szCs w:val="28"/>
          <w14:textFill>
            <w14:solidFill>
              <w14:schemeClr w14:val="tx1"/>
            </w14:solidFill>
          </w14:textFill>
        </w:rPr>
      </w:pPr>
      <w:r>
        <w:rPr>
          <w:rStyle w:val="52"/>
          <w:rFonts w:hint="eastAsia" w:ascii="仿宋" w:hAnsi="仿宋" w:eastAsia="仿宋" w:cs="仿宋"/>
          <w:snapToGrid/>
          <w:color w:val="000000" w:themeColor="text1"/>
          <w:kern w:val="0"/>
          <w:sz w:val="28"/>
          <w:szCs w:val="28"/>
          <w14:textFill>
            <w14:solidFill>
              <w14:schemeClr w14:val="tx1"/>
            </w14:solidFill>
          </w14:textFill>
        </w:rPr>
        <w:t>2.采购代理机构信息</w:t>
      </w:r>
    </w:p>
    <w:p w14:paraId="4B8A515A">
      <w:pPr>
        <w:keepNext w:val="0"/>
        <w:keepLines w:val="0"/>
        <w:pageBreakBefore w:val="0"/>
        <w:wordWrap w:val="0"/>
        <w:overflowPunct/>
        <w:bidi w:val="0"/>
        <w:adjustRightInd/>
        <w:snapToGrid/>
        <w:spacing w:before="157" w:beforeLines="50" w:after="157" w:afterLines="50" w:line="240" w:lineRule="auto"/>
        <w:ind w:firstLine="560" w:firstLineChars="200"/>
        <w:contextualSpacing/>
        <w:jc w:val="left"/>
        <w:rPr>
          <w:rStyle w:val="52"/>
          <w:rFonts w:hint="eastAsia" w:ascii="仿宋" w:hAnsi="仿宋" w:eastAsia="仿宋" w:cs="仿宋"/>
          <w:snapToGrid/>
          <w:color w:val="000000" w:themeColor="text1"/>
          <w:kern w:val="0"/>
          <w:sz w:val="28"/>
          <w:szCs w:val="28"/>
          <w14:textFill>
            <w14:solidFill>
              <w14:schemeClr w14:val="tx1"/>
            </w14:solidFill>
          </w14:textFill>
        </w:rPr>
      </w:pPr>
      <w:r>
        <w:rPr>
          <w:rStyle w:val="52"/>
          <w:rFonts w:hint="eastAsia" w:ascii="仿宋" w:hAnsi="仿宋" w:eastAsia="仿宋" w:cs="仿宋"/>
          <w:snapToGrid/>
          <w:color w:val="000000" w:themeColor="text1"/>
          <w:kern w:val="0"/>
          <w:sz w:val="28"/>
          <w:szCs w:val="28"/>
          <w14:textFill>
            <w14:solidFill>
              <w14:schemeClr w14:val="tx1"/>
            </w14:solidFill>
          </w14:textFill>
        </w:rPr>
        <w:t>名   称：安徽踏川建设咨询有限公司</w:t>
      </w:r>
    </w:p>
    <w:p w14:paraId="2ABA8FD0">
      <w:pPr>
        <w:keepNext w:val="0"/>
        <w:keepLines w:val="0"/>
        <w:pageBreakBefore w:val="0"/>
        <w:wordWrap w:val="0"/>
        <w:overflowPunct/>
        <w:bidi w:val="0"/>
        <w:adjustRightInd/>
        <w:snapToGrid/>
        <w:spacing w:before="157" w:beforeLines="50" w:after="157" w:afterLines="50" w:line="240" w:lineRule="auto"/>
        <w:ind w:firstLine="560" w:firstLineChars="200"/>
        <w:contextualSpacing/>
        <w:jc w:val="left"/>
        <w:rPr>
          <w:rStyle w:val="52"/>
          <w:rFonts w:hint="eastAsia" w:ascii="仿宋" w:hAnsi="仿宋" w:eastAsia="仿宋" w:cs="仿宋"/>
          <w:snapToGrid/>
          <w:color w:val="000000" w:themeColor="text1"/>
          <w:kern w:val="0"/>
          <w:sz w:val="28"/>
          <w:szCs w:val="28"/>
          <w14:textFill>
            <w14:solidFill>
              <w14:schemeClr w14:val="tx1"/>
            </w14:solidFill>
          </w14:textFill>
        </w:rPr>
      </w:pPr>
      <w:r>
        <w:rPr>
          <w:rStyle w:val="52"/>
          <w:rFonts w:hint="eastAsia" w:ascii="仿宋" w:hAnsi="仿宋" w:eastAsia="仿宋" w:cs="仿宋"/>
          <w:snapToGrid/>
          <w:color w:val="000000" w:themeColor="text1"/>
          <w:kern w:val="0"/>
          <w:sz w:val="28"/>
          <w:szCs w:val="28"/>
          <w14:textFill>
            <w14:solidFill>
              <w14:schemeClr w14:val="tx1"/>
            </w14:solidFill>
          </w14:textFill>
        </w:rPr>
        <w:t>地   址：安徽省淮南市田家庵区淮河新城五期5号楼17层</w:t>
      </w:r>
    </w:p>
    <w:p w14:paraId="335EEDE1">
      <w:pPr>
        <w:keepNext w:val="0"/>
        <w:keepLines w:val="0"/>
        <w:pageBreakBefore w:val="0"/>
        <w:wordWrap w:val="0"/>
        <w:overflowPunct/>
        <w:bidi w:val="0"/>
        <w:adjustRightInd/>
        <w:snapToGrid/>
        <w:spacing w:before="157" w:beforeLines="50" w:after="157" w:afterLines="50" w:line="240" w:lineRule="auto"/>
        <w:ind w:firstLine="560" w:firstLineChars="200"/>
        <w:contextualSpacing/>
        <w:jc w:val="left"/>
        <w:rPr>
          <w:rStyle w:val="52"/>
          <w:rFonts w:hint="eastAsia" w:ascii="仿宋" w:hAnsi="仿宋" w:eastAsia="仿宋" w:cs="仿宋"/>
          <w:snapToGrid/>
          <w:color w:val="000000" w:themeColor="text1"/>
          <w:kern w:val="0"/>
          <w:sz w:val="28"/>
          <w:szCs w:val="28"/>
          <w14:textFill>
            <w14:solidFill>
              <w14:schemeClr w14:val="tx1"/>
            </w14:solidFill>
          </w14:textFill>
        </w:rPr>
      </w:pPr>
      <w:r>
        <w:rPr>
          <w:rStyle w:val="52"/>
          <w:rFonts w:hint="eastAsia" w:ascii="仿宋" w:hAnsi="仿宋" w:eastAsia="仿宋" w:cs="仿宋"/>
          <w:snapToGrid/>
          <w:color w:val="000000" w:themeColor="text1"/>
          <w:kern w:val="0"/>
          <w:sz w:val="28"/>
          <w:szCs w:val="28"/>
          <w14:textFill>
            <w14:solidFill>
              <w14:schemeClr w14:val="tx1"/>
            </w14:solidFill>
          </w14:textFill>
        </w:rPr>
        <w:t>联系方式：18655420472</w:t>
      </w:r>
    </w:p>
    <w:p w14:paraId="591E4413">
      <w:pPr>
        <w:keepNext w:val="0"/>
        <w:keepLines w:val="0"/>
        <w:pageBreakBefore w:val="0"/>
        <w:wordWrap w:val="0"/>
        <w:overflowPunct/>
        <w:bidi w:val="0"/>
        <w:adjustRightInd/>
        <w:snapToGrid/>
        <w:spacing w:before="157" w:beforeLines="50" w:after="157" w:afterLines="50" w:line="240" w:lineRule="auto"/>
        <w:ind w:firstLine="560" w:firstLineChars="200"/>
        <w:contextualSpacing/>
        <w:jc w:val="left"/>
        <w:rPr>
          <w:rStyle w:val="52"/>
          <w:rFonts w:hint="eastAsia" w:ascii="仿宋" w:hAnsi="仿宋" w:eastAsia="仿宋" w:cs="仿宋"/>
          <w:snapToGrid/>
          <w:color w:val="000000" w:themeColor="text1"/>
          <w:kern w:val="0"/>
          <w:sz w:val="28"/>
          <w:szCs w:val="28"/>
          <w14:textFill>
            <w14:solidFill>
              <w14:schemeClr w14:val="tx1"/>
            </w14:solidFill>
          </w14:textFill>
        </w:rPr>
      </w:pPr>
      <w:r>
        <w:rPr>
          <w:rStyle w:val="52"/>
          <w:rFonts w:hint="eastAsia" w:ascii="仿宋" w:hAnsi="仿宋" w:eastAsia="仿宋" w:cs="仿宋"/>
          <w:snapToGrid/>
          <w:color w:val="000000" w:themeColor="text1"/>
          <w:kern w:val="0"/>
          <w:sz w:val="28"/>
          <w:szCs w:val="28"/>
          <w14:textFill>
            <w14:solidFill>
              <w14:schemeClr w14:val="tx1"/>
            </w14:solidFill>
          </w14:textFill>
        </w:rPr>
        <w:t>3.项目联系方式</w:t>
      </w:r>
    </w:p>
    <w:p w14:paraId="0D119F05">
      <w:pPr>
        <w:keepNext w:val="0"/>
        <w:keepLines w:val="0"/>
        <w:pageBreakBefore w:val="0"/>
        <w:wordWrap w:val="0"/>
        <w:overflowPunct/>
        <w:bidi w:val="0"/>
        <w:adjustRightInd/>
        <w:snapToGrid/>
        <w:spacing w:before="157" w:beforeLines="50" w:after="157" w:afterLines="50" w:line="240" w:lineRule="auto"/>
        <w:ind w:firstLine="560" w:firstLineChars="200"/>
        <w:contextualSpacing/>
        <w:jc w:val="left"/>
        <w:rPr>
          <w:rStyle w:val="52"/>
          <w:rFonts w:hint="eastAsia" w:ascii="仿宋" w:hAnsi="仿宋" w:eastAsia="仿宋" w:cs="仿宋"/>
          <w:snapToGrid/>
          <w:color w:val="000000" w:themeColor="text1"/>
          <w:kern w:val="0"/>
          <w:sz w:val="28"/>
          <w:szCs w:val="28"/>
          <w:highlight w:val="none"/>
          <w14:textFill>
            <w14:solidFill>
              <w14:schemeClr w14:val="tx1"/>
            </w14:solidFill>
          </w14:textFill>
        </w:rPr>
      </w:pPr>
      <w:r>
        <w:rPr>
          <w:rStyle w:val="52"/>
          <w:rFonts w:hint="eastAsia" w:ascii="仿宋" w:hAnsi="仿宋" w:eastAsia="仿宋" w:cs="仿宋"/>
          <w:snapToGrid/>
          <w:color w:val="000000" w:themeColor="text1"/>
          <w:kern w:val="0"/>
          <w:sz w:val="28"/>
          <w:szCs w:val="28"/>
          <w:highlight w:val="none"/>
          <w14:textFill>
            <w14:solidFill>
              <w14:schemeClr w14:val="tx1"/>
            </w14:solidFill>
          </w14:textFill>
        </w:rPr>
        <w:t>项目联系人：靳师琪（采购人代表）、张红红（代理机构）</w:t>
      </w:r>
    </w:p>
    <w:p w14:paraId="2911E74E">
      <w:pPr>
        <w:keepNext w:val="0"/>
        <w:keepLines w:val="0"/>
        <w:pageBreakBefore w:val="0"/>
        <w:widowControl w:val="0"/>
        <w:kinsoku/>
        <w:wordWrap w:val="0"/>
        <w:overflowPunct/>
        <w:topLinePunct w:val="0"/>
        <w:autoSpaceDE/>
        <w:autoSpaceDN/>
        <w:bidi w:val="0"/>
        <w:adjustRightInd/>
        <w:snapToGrid/>
        <w:spacing w:before="157" w:beforeLines="50" w:after="157" w:afterLines="50" w:line="240" w:lineRule="auto"/>
        <w:ind w:right="0" w:rightChars="0" w:firstLine="560" w:firstLineChars="200"/>
        <w:contextualSpacing/>
        <w:jc w:val="left"/>
        <w:textAlignment w:val="auto"/>
        <w:rPr>
          <w:rStyle w:val="52"/>
          <w:rFonts w:hint="eastAsia" w:ascii="仿宋" w:hAnsi="仿宋" w:eastAsia="仿宋" w:cs="仿宋"/>
          <w:snapToGrid/>
          <w:color w:val="000000" w:themeColor="text1"/>
          <w:kern w:val="0"/>
          <w:sz w:val="28"/>
          <w:szCs w:val="28"/>
          <w:highlight w:val="none"/>
          <w14:textFill>
            <w14:solidFill>
              <w14:schemeClr w14:val="tx1"/>
            </w14:solidFill>
          </w14:textFill>
        </w:rPr>
      </w:pPr>
      <w:r>
        <w:rPr>
          <w:rStyle w:val="52"/>
          <w:rFonts w:hint="eastAsia" w:ascii="仿宋" w:hAnsi="仿宋" w:eastAsia="仿宋" w:cs="仿宋"/>
          <w:snapToGrid/>
          <w:color w:val="000000" w:themeColor="text1"/>
          <w:kern w:val="0"/>
          <w:sz w:val="28"/>
          <w:szCs w:val="28"/>
          <w:highlight w:val="none"/>
          <w14:textFill>
            <w14:solidFill>
              <w14:schemeClr w14:val="tx1"/>
            </w14:solidFill>
          </w14:textFill>
        </w:rPr>
        <w:t>电   话：17755485285、18655420472</w:t>
      </w:r>
      <w:bookmarkEnd w:id="9"/>
    </w:p>
    <w:p w14:paraId="722295EB">
      <w:pPr>
        <w:pStyle w:val="48"/>
        <w:spacing w:after="0"/>
        <w:jc w:val="center"/>
        <w:rPr>
          <w:rStyle w:val="50"/>
          <w:rFonts w:hint="eastAsia" w:ascii="仿宋" w:hAnsi="仿宋" w:eastAsia="仿宋" w:cs="仿宋"/>
          <w:b w:val="0"/>
          <w:color w:val="auto"/>
          <w:sz w:val="44"/>
          <w:szCs w:val="44"/>
          <w:highlight w:val="none"/>
        </w:rPr>
      </w:pPr>
      <w:bookmarkStart w:id="33" w:name="_Toc144907420"/>
      <w:bookmarkStart w:id="34" w:name="_Toc9023"/>
      <w:r>
        <w:rPr>
          <w:rStyle w:val="50"/>
          <w:rFonts w:hint="eastAsia" w:ascii="仿宋" w:hAnsi="仿宋" w:eastAsia="仿宋" w:cs="仿宋"/>
          <w:b w:val="0"/>
          <w:color w:val="auto"/>
          <w:sz w:val="44"/>
          <w:szCs w:val="44"/>
          <w:highlight w:val="none"/>
        </w:rPr>
        <w:br w:type="page"/>
      </w:r>
      <w:r>
        <w:rPr>
          <w:rStyle w:val="50"/>
          <w:rFonts w:hint="eastAsia" w:ascii="仿宋" w:hAnsi="仿宋" w:eastAsia="仿宋" w:cs="仿宋"/>
          <w:b w:val="0"/>
          <w:color w:val="auto"/>
          <w:sz w:val="44"/>
          <w:szCs w:val="44"/>
          <w:highlight w:val="none"/>
        </w:rPr>
        <w:t>第二章 供应商须知前附表</w:t>
      </w:r>
    </w:p>
    <w:tbl>
      <w:tblPr>
        <w:tblStyle w:val="30"/>
        <w:tblW w:w="9570" w:type="dxa"/>
        <w:jc w:val="center"/>
        <w:tblLayout w:type="fixed"/>
        <w:tblCellMar>
          <w:top w:w="0" w:type="dxa"/>
          <w:left w:w="0" w:type="dxa"/>
          <w:bottom w:w="0" w:type="dxa"/>
          <w:right w:w="0" w:type="dxa"/>
        </w:tblCellMar>
      </w:tblPr>
      <w:tblGrid>
        <w:gridCol w:w="652"/>
        <w:gridCol w:w="2091"/>
        <w:gridCol w:w="6827"/>
      </w:tblGrid>
      <w:tr w14:paraId="40B1A5AC">
        <w:tblPrEx>
          <w:tblCellMar>
            <w:top w:w="0" w:type="dxa"/>
            <w:left w:w="0" w:type="dxa"/>
            <w:bottom w:w="0" w:type="dxa"/>
            <w:right w:w="0" w:type="dxa"/>
          </w:tblCellMar>
        </w:tblPrEx>
        <w:trPr>
          <w:trHeight w:val="562"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4EB715B8">
            <w:pPr>
              <w:keepNext w:val="0"/>
              <w:keepLines w:val="0"/>
              <w:pageBreakBefore w:val="0"/>
              <w:widowControl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b/>
                <w:color w:val="auto"/>
                <w:kern w:val="0"/>
                <w:sz w:val="28"/>
                <w:szCs w:val="28"/>
                <w:highlight w:val="none"/>
              </w:rPr>
            </w:pPr>
            <w:bookmarkStart w:id="35" w:name="_Toc143443456"/>
            <w:bookmarkStart w:id="36" w:name="_Toc144907421"/>
            <w:bookmarkStart w:id="37" w:name="_Toc19431"/>
            <w:bookmarkStart w:id="38" w:name="_Toc144907056"/>
            <w:bookmarkStart w:id="39" w:name="_Toc28104"/>
            <w:r>
              <w:rPr>
                <w:rFonts w:hint="eastAsia" w:ascii="仿宋" w:hAnsi="仿宋" w:eastAsia="仿宋" w:cs="仿宋"/>
                <w:b/>
                <w:color w:val="auto"/>
                <w:kern w:val="0"/>
                <w:sz w:val="28"/>
                <w:szCs w:val="28"/>
                <w:highlight w:val="none"/>
              </w:rPr>
              <w:t>序号</w:t>
            </w:r>
            <w:bookmarkEnd w:id="35"/>
            <w:bookmarkEnd w:id="36"/>
            <w:bookmarkEnd w:id="37"/>
            <w:bookmarkEnd w:id="38"/>
            <w:bookmarkEnd w:id="39"/>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077F">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color w:val="auto"/>
                <w:sz w:val="28"/>
                <w:szCs w:val="28"/>
                <w:highlight w:val="none"/>
              </w:rPr>
            </w:pPr>
            <w:bookmarkStart w:id="40" w:name="_Toc19712"/>
            <w:bookmarkEnd w:id="40"/>
            <w:bookmarkStart w:id="41" w:name="_Toc22828"/>
            <w:bookmarkEnd w:id="41"/>
            <w:bookmarkStart w:id="42" w:name="_Toc28298"/>
            <w:bookmarkEnd w:id="42"/>
            <w:bookmarkStart w:id="43" w:name="_Toc16337"/>
            <w:bookmarkEnd w:id="43"/>
            <w:bookmarkStart w:id="44" w:name="_Toc3426"/>
            <w:bookmarkStart w:id="45" w:name="_Toc144907057"/>
            <w:bookmarkStart w:id="46" w:name="_Toc144907422"/>
            <w:bookmarkStart w:id="47" w:name="_Toc143443457"/>
            <w:bookmarkStart w:id="48" w:name="_Toc13627"/>
            <w:r>
              <w:rPr>
                <w:rFonts w:hint="eastAsia" w:ascii="仿宋" w:hAnsi="仿宋" w:eastAsia="仿宋" w:cs="仿宋"/>
                <w:color w:val="auto"/>
                <w:sz w:val="28"/>
                <w:szCs w:val="28"/>
                <w:highlight w:val="none"/>
              </w:rPr>
              <w:t>条款名称</w:t>
            </w:r>
            <w:bookmarkEnd w:id="44"/>
            <w:bookmarkEnd w:id="45"/>
            <w:bookmarkEnd w:id="46"/>
            <w:bookmarkEnd w:id="47"/>
            <w:bookmarkEnd w:id="48"/>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61CC">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center"/>
              <w:textAlignment w:val="auto"/>
              <w:rPr>
                <w:rFonts w:hint="eastAsia" w:ascii="仿宋" w:hAnsi="仿宋" w:eastAsia="仿宋" w:cs="仿宋"/>
                <w:color w:val="auto"/>
                <w:sz w:val="28"/>
                <w:szCs w:val="28"/>
                <w:highlight w:val="none"/>
              </w:rPr>
            </w:pPr>
            <w:bookmarkStart w:id="49" w:name="_Toc16212"/>
            <w:bookmarkEnd w:id="49"/>
            <w:bookmarkStart w:id="50" w:name="_Toc16822"/>
            <w:bookmarkEnd w:id="50"/>
            <w:bookmarkStart w:id="51" w:name="_Toc2438"/>
            <w:bookmarkEnd w:id="51"/>
            <w:bookmarkStart w:id="52" w:name="_Toc20910"/>
            <w:bookmarkEnd w:id="52"/>
            <w:bookmarkStart w:id="53" w:name="_Toc143443458"/>
            <w:bookmarkStart w:id="54" w:name="_Toc144907423"/>
            <w:bookmarkStart w:id="55" w:name="_Toc144907058"/>
            <w:bookmarkStart w:id="56" w:name="_Toc11919"/>
            <w:bookmarkStart w:id="57" w:name="_Toc13517"/>
            <w:r>
              <w:rPr>
                <w:rFonts w:hint="eastAsia" w:ascii="仿宋" w:hAnsi="仿宋" w:eastAsia="仿宋" w:cs="仿宋"/>
                <w:color w:val="auto"/>
                <w:sz w:val="28"/>
                <w:szCs w:val="28"/>
                <w:highlight w:val="none"/>
              </w:rPr>
              <w:t>编列内容</w:t>
            </w:r>
            <w:bookmarkEnd w:id="53"/>
            <w:bookmarkEnd w:id="54"/>
            <w:bookmarkEnd w:id="55"/>
            <w:bookmarkEnd w:id="56"/>
            <w:bookmarkEnd w:id="57"/>
          </w:p>
        </w:tc>
      </w:tr>
      <w:tr w14:paraId="13FB4670">
        <w:tblPrEx>
          <w:tblCellMar>
            <w:top w:w="0" w:type="dxa"/>
            <w:left w:w="0" w:type="dxa"/>
            <w:bottom w:w="0" w:type="dxa"/>
            <w:right w:w="0" w:type="dxa"/>
          </w:tblCellMar>
        </w:tblPrEx>
        <w:trPr>
          <w:trHeight w:val="90"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1906052B">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58" w:name="_Toc144907059"/>
            <w:bookmarkStart w:id="59" w:name="_Toc144907424"/>
            <w:bookmarkStart w:id="60" w:name="_Toc143443459"/>
            <w:bookmarkStart w:id="61" w:name="_Toc20988"/>
            <w:bookmarkStart w:id="62" w:name="_Toc24684"/>
            <w:r>
              <w:rPr>
                <w:rFonts w:hint="eastAsia" w:ascii="仿宋" w:hAnsi="仿宋" w:eastAsia="仿宋" w:cs="仿宋"/>
                <w:color w:val="auto"/>
                <w:kern w:val="0"/>
                <w:sz w:val="28"/>
                <w:szCs w:val="28"/>
                <w:highlight w:val="none"/>
              </w:rPr>
              <w:t>1</w:t>
            </w:r>
            <w:bookmarkEnd w:id="58"/>
            <w:bookmarkEnd w:id="59"/>
            <w:bookmarkEnd w:id="60"/>
            <w:bookmarkEnd w:id="61"/>
            <w:bookmarkEnd w:id="62"/>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27D8C">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sz w:val="28"/>
                <w:szCs w:val="28"/>
                <w:highlight w:val="none"/>
              </w:rPr>
            </w:pPr>
            <w:bookmarkStart w:id="63" w:name="_Toc20041"/>
            <w:bookmarkEnd w:id="63"/>
            <w:bookmarkStart w:id="64" w:name="_Toc15349"/>
            <w:bookmarkEnd w:id="64"/>
            <w:bookmarkStart w:id="65" w:name="_Toc8868"/>
            <w:bookmarkEnd w:id="65"/>
            <w:bookmarkStart w:id="66" w:name="_Toc31619"/>
            <w:bookmarkEnd w:id="66"/>
            <w:bookmarkStart w:id="67" w:name="_Toc143443460"/>
            <w:bookmarkStart w:id="68" w:name="_Toc32296"/>
            <w:bookmarkStart w:id="69" w:name="_Toc9422"/>
            <w:bookmarkStart w:id="70" w:name="_Toc144907425"/>
            <w:bookmarkStart w:id="71" w:name="_Toc144907060"/>
            <w:r>
              <w:rPr>
                <w:rFonts w:hint="eastAsia" w:ascii="仿宋" w:hAnsi="仿宋" w:eastAsia="仿宋" w:cs="仿宋"/>
                <w:b w:val="0"/>
                <w:color w:val="auto"/>
                <w:sz w:val="28"/>
                <w:szCs w:val="28"/>
                <w:highlight w:val="none"/>
              </w:rPr>
              <w:t>采购人</w:t>
            </w:r>
            <w:bookmarkEnd w:id="67"/>
            <w:bookmarkEnd w:id="68"/>
            <w:bookmarkEnd w:id="69"/>
            <w:bookmarkEnd w:id="70"/>
            <w:bookmarkEnd w:id="71"/>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83980">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b w:val="0"/>
                <w:bCs w:val="0"/>
                <w:color w:val="auto"/>
                <w:kern w:val="0"/>
                <w:sz w:val="28"/>
                <w:szCs w:val="28"/>
                <w:highlight w:val="none"/>
                <w:lang w:val="zh-CN" w:eastAsia="zh-CN" w:bidi="ar-SA"/>
              </w:rPr>
            </w:pPr>
            <w:r>
              <w:rPr>
                <w:rFonts w:hint="eastAsia" w:ascii="仿宋" w:hAnsi="仿宋" w:eastAsia="仿宋" w:cs="仿宋"/>
                <w:b w:val="0"/>
                <w:bCs w:val="0"/>
                <w:color w:val="auto"/>
                <w:kern w:val="0"/>
                <w:sz w:val="28"/>
                <w:szCs w:val="28"/>
                <w:highlight w:val="none"/>
                <w:lang w:val="zh-CN" w:eastAsia="zh-CN" w:bidi="ar-SA"/>
              </w:rPr>
              <w:t>采</w:t>
            </w:r>
            <w:r>
              <w:rPr>
                <w:rFonts w:hint="eastAsia" w:ascii="仿宋" w:hAnsi="仿宋" w:eastAsia="仿宋" w:cs="仿宋"/>
                <w:b w:val="0"/>
                <w:bCs w:val="0"/>
                <w:color w:val="auto"/>
                <w:kern w:val="0"/>
                <w:sz w:val="28"/>
                <w:szCs w:val="28"/>
                <w:highlight w:val="none"/>
                <w:lang w:val="en-US" w:eastAsia="zh-CN" w:bidi="ar-SA"/>
              </w:rPr>
              <w:t xml:space="preserve"> </w:t>
            </w:r>
            <w:r>
              <w:rPr>
                <w:rFonts w:hint="eastAsia" w:ascii="仿宋" w:hAnsi="仿宋" w:eastAsia="仿宋" w:cs="仿宋"/>
                <w:b w:val="0"/>
                <w:bCs w:val="0"/>
                <w:color w:val="auto"/>
                <w:kern w:val="0"/>
                <w:sz w:val="28"/>
                <w:szCs w:val="28"/>
                <w:highlight w:val="none"/>
                <w:lang w:val="zh-CN" w:eastAsia="zh-CN" w:bidi="ar-SA"/>
              </w:rPr>
              <w:t>购 人：国家煤化工产品质量检验检测中心（安徽）（淮南市产品质量监督检验所）</w:t>
            </w:r>
          </w:p>
          <w:p w14:paraId="592B2CFB">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b w:val="0"/>
                <w:bCs w:val="0"/>
                <w:color w:val="auto"/>
                <w:kern w:val="0"/>
                <w:sz w:val="28"/>
                <w:szCs w:val="28"/>
                <w:highlight w:val="none"/>
                <w:lang w:val="zh-CN" w:eastAsia="zh-CN" w:bidi="ar-SA"/>
              </w:rPr>
            </w:pPr>
            <w:r>
              <w:rPr>
                <w:rFonts w:hint="eastAsia" w:ascii="仿宋" w:hAnsi="仿宋" w:eastAsia="仿宋" w:cs="仿宋"/>
                <w:b w:val="0"/>
                <w:bCs w:val="0"/>
                <w:color w:val="auto"/>
                <w:kern w:val="0"/>
                <w:sz w:val="28"/>
                <w:szCs w:val="28"/>
                <w:highlight w:val="none"/>
                <w:lang w:val="zh-CN" w:eastAsia="zh-CN" w:bidi="ar-SA"/>
              </w:rPr>
              <w:t>地    址：淮南市山南新区南纬十路北侧</w:t>
            </w:r>
          </w:p>
          <w:p w14:paraId="775FC5C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b w:val="0"/>
                <w:bCs w:val="0"/>
                <w:color w:val="auto"/>
                <w:kern w:val="0"/>
                <w:sz w:val="28"/>
                <w:szCs w:val="28"/>
                <w:highlight w:val="none"/>
                <w:lang w:val="zh-CN" w:eastAsia="zh-CN" w:bidi="ar-SA"/>
              </w:rPr>
            </w:pPr>
            <w:r>
              <w:rPr>
                <w:rFonts w:hint="eastAsia" w:ascii="仿宋" w:hAnsi="仿宋" w:eastAsia="仿宋" w:cs="仿宋"/>
                <w:b w:val="0"/>
                <w:bCs w:val="0"/>
                <w:color w:val="auto"/>
                <w:kern w:val="0"/>
                <w:sz w:val="28"/>
                <w:szCs w:val="28"/>
                <w:highlight w:val="none"/>
                <w:lang w:val="zh-CN" w:eastAsia="zh-CN" w:bidi="ar-SA"/>
              </w:rPr>
              <w:t>联 系 人：靳师琪</w:t>
            </w:r>
          </w:p>
          <w:p w14:paraId="4374933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b w:val="0"/>
                <w:bCs w:val="0"/>
                <w:color w:val="auto"/>
                <w:kern w:val="0"/>
                <w:sz w:val="28"/>
                <w:szCs w:val="28"/>
                <w:highlight w:val="none"/>
                <w:lang w:val="en-US" w:eastAsia="zh-CN" w:bidi="ar-SA"/>
              </w:rPr>
            </w:pPr>
            <w:r>
              <w:rPr>
                <w:rFonts w:hint="eastAsia" w:ascii="仿宋" w:hAnsi="仿宋" w:eastAsia="仿宋" w:cs="仿宋"/>
                <w:b w:val="0"/>
                <w:bCs w:val="0"/>
                <w:color w:val="auto"/>
                <w:kern w:val="0"/>
                <w:sz w:val="28"/>
                <w:szCs w:val="28"/>
                <w:highlight w:val="none"/>
                <w:lang w:val="zh-CN" w:eastAsia="zh-CN" w:bidi="ar-SA"/>
              </w:rPr>
              <w:t>联系电话：17755485285</w:t>
            </w:r>
          </w:p>
        </w:tc>
      </w:tr>
      <w:tr w14:paraId="5C17403C">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195735C2">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72" w:name="_Toc8739"/>
            <w:bookmarkStart w:id="73" w:name="_Toc144907063"/>
            <w:bookmarkStart w:id="74" w:name="_Toc144907428"/>
            <w:bookmarkStart w:id="75" w:name="_Toc143443463"/>
            <w:bookmarkStart w:id="76" w:name="_Toc10297"/>
            <w:r>
              <w:rPr>
                <w:rFonts w:hint="eastAsia" w:ascii="仿宋" w:hAnsi="仿宋" w:eastAsia="仿宋" w:cs="仿宋"/>
                <w:color w:val="auto"/>
                <w:kern w:val="0"/>
                <w:sz w:val="28"/>
                <w:szCs w:val="28"/>
                <w:highlight w:val="none"/>
              </w:rPr>
              <w:t>2</w:t>
            </w:r>
            <w:bookmarkEnd w:id="72"/>
            <w:bookmarkEnd w:id="73"/>
            <w:bookmarkEnd w:id="74"/>
            <w:bookmarkEnd w:id="75"/>
            <w:bookmarkEnd w:id="76"/>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AAF7">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sz w:val="28"/>
                <w:szCs w:val="28"/>
                <w:highlight w:val="none"/>
              </w:rPr>
            </w:pPr>
            <w:bookmarkStart w:id="77" w:name="_Toc10962"/>
            <w:bookmarkEnd w:id="77"/>
            <w:bookmarkStart w:id="78" w:name="_Toc27053"/>
            <w:bookmarkEnd w:id="78"/>
            <w:bookmarkStart w:id="79" w:name="_Toc30148"/>
            <w:bookmarkEnd w:id="79"/>
            <w:bookmarkStart w:id="80" w:name="_Toc12200"/>
            <w:bookmarkEnd w:id="80"/>
            <w:bookmarkStart w:id="81" w:name="_Toc17363"/>
            <w:bookmarkStart w:id="82" w:name="_Toc143443464"/>
            <w:bookmarkStart w:id="83" w:name="_Toc144907429"/>
            <w:bookmarkStart w:id="84" w:name="_Toc144907064"/>
            <w:bookmarkStart w:id="85" w:name="_Toc2169"/>
            <w:r>
              <w:rPr>
                <w:rFonts w:hint="eastAsia" w:ascii="仿宋" w:hAnsi="仿宋" w:eastAsia="仿宋" w:cs="仿宋"/>
                <w:b w:val="0"/>
                <w:color w:val="auto"/>
                <w:sz w:val="28"/>
                <w:szCs w:val="28"/>
                <w:highlight w:val="none"/>
              </w:rPr>
              <w:t>采购代理机构</w:t>
            </w:r>
            <w:bookmarkEnd w:id="81"/>
            <w:bookmarkEnd w:id="82"/>
            <w:bookmarkEnd w:id="83"/>
            <w:bookmarkEnd w:id="84"/>
            <w:bookmarkEnd w:id="85"/>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F620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b w:val="0"/>
                <w:bCs w:val="0"/>
                <w:color w:val="auto"/>
                <w:kern w:val="0"/>
                <w:sz w:val="28"/>
                <w:szCs w:val="28"/>
                <w:highlight w:val="none"/>
                <w:lang w:val="zh-CN" w:eastAsia="zh-CN" w:bidi="ar-SA"/>
              </w:rPr>
            </w:pPr>
            <w:r>
              <w:rPr>
                <w:rFonts w:hint="eastAsia" w:ascii="仿宋" w:hAnsi="仿宋" w:eastAsia="仿宋" w:cs="仿宋"/>
                <w:b w:val="0"/>
                <w:bCs w:val="0"/>
                <w:color w:val="auto"/>
                <w:kern w:val="0"/>
                <w:sz w:val="28"/>
                <w:szCs w:val="28"/>
                <w:highlight w:val="none"/>
                <w:lang w:val="zh-CN" w:eastAsia="zh-CN" w:bidi="ar-SA"/>
              </w:rPr>
              <w:t>代理机构：安徽踏川建设咨询有限公司</w:t>
            </w:r>
          </w:p>
          <w:p w14:paraId="121CFDAF">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b w:val="0"/>
                <w:bCs w:val="0"/>
                <w:color w:val="auto"/>
                <w:kern w:val="0"/>
                <w:sz w:val="28"/>
                <w:szCs w:val="28"/>
                <w:highlight w:val="none"/>
                <w:lang w:val="zh-CN" w:eastAsia="zh-CN" w:bidi="ar-SA"/>
              </w:rPr>
            </w:pPr>
            <w:r>
              <w:rPr>
                <w:rFonts w:hint="eastAsia" w:ascii="仿宋" w:hAnsi="仿宋" w:eastAsia="仿宋" w:cs="仿宋"/>
                <w:b w:val="0"/>
                <w:bCs w:val="0"/>
                <w:color w:val="auto"/>
                <w:kern w:val="0"/>
                <w:sz w:val="28"/>
                <w:szCs w:val="28"/>
                <w:highlight w:val="none"/>
                <w:lang w:val="zh-CN" w:eastAsia="zh-CN" w:bidi="ar-SA"/>
              </w:rPr>
              <w:t>地    址：淮南市田家庵区淮河新城五期5号楼17层</w:t>
            </w:r>
          </w:p>
          <w:p w14:paraId="3B39C7AB">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b w:val="0"/>
                <w:bCs w:val="0"/>
                <w:color w:val="auto"/>
                <w:kern w:val="0"/>
                <w:sz w:val="28"/>
                <w:szCs w:val="28"/>
                <w:highlight w:val="none"/>
                <w:lang w:val="en-US" w:eastAsia="zh-CN" w:bidi="ar-SA"/>
              </w:rPr>
            </w:pPr>
            <w:r>
              <w:rPr>
                <w:rFonts w:hint="eastAsia" w:ascii="仿宋" w:hAnsi="仿宋" w:eastAsia="仿宋" w:cs="仿宋"/>
                <w:b w:val="0"/>
                <w:bCs w:val="0"/>
                <w:color w:val="auto"/>
                <w:kern w:val="0"/>
                <w:sz w:val="28"/>
                <w:szCs w:val="28"/>
                <w:highlight w:val="none"/>
                <w:lang w:val="zh-CN" w:eastAsia="zh-CN" w:bidi="ar-SA"/>
              </w:rPr>
              <w:t>联 系 人：</w:t>
            </w:r>
            <w:r>
              <w:rPr>
                <w:rFonts w:hint="eastAsia" w:ascii="仿宋" w:hAnsi="仿宋" w:eastAsia="仿宋" w:cs="仿宋"/>
                <w:b w:val="0"/>
                <w:bCs w:val="0"/>
                <w:color w:val="auto"/>
                <w:kern w:val="0"/>
                <w:sz w:val="28"/>
                <w:szCs w:val="28"/>
                <w:highlight w:val="none"/>
                <w:lang w:val="en-US" w:eastAsia="zh-CN" w:bidi="ar-SA"/>
              </w:rPr>
              <w:t>张红红</w:t>
            </w:r>
          </w:p>
          <w:p w14:paraId="4392037B">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b w:val="0"/>
                <w:bCs w:val="0"/>
                <w:color w:val="auto"/>
                <w:kern w:val="0"/>
                <w:sz w:val="28"/>
                <w:szCs w:val="28"/>
                <w:highlight w:val="none"/>
                <w:lang w:val="en-US" w:eastAsia="zh-CN" w:bidi="ar-SA"/>
              </w:rPr>
            </w:pPr>
            <w:r>
              <w:rPr>
                <w:rFonts w:hint="eastAsia" w:ascii="仿宋" w:hAnsi="仿宋" w:eastAsia="仿宋" w:cs="仿宋"/>
                <w:b w:val="0"/>
                <w:bCs w:val="0"/>
                <w:color w:val="auto"/>
                <w:kern w:val="0"/>
                <w:sz w:val="28"/>
                <w:szCs w:val="28"/>
                <w:highlight w:val="none"/>
                <w:lang w:val="zh-CN" w:eastAsia="zh-CN" w:bidi="ar-SA"/>
              </w:rPr>
              <w:t>联系电话：18655420472</w:t>
            </w:r>
          </w:p>
        </w:tc>
      </w:tr>
      <w:tr w14:paraId="1AD4F8C3">
        <w:tblPrEx>
          <w:tblCellMar>
            <w:top w:w="0" w:type="dxa"/>
            <w:left w:w="0" w:type="dxa"/>
            <w:bottom w:w="0" w:type="dxa"/>
            <w:right w:w="0" w:type="dxa"/>
          </w:tblCellMar>
        </w:tblPrEx>
        <w:trPr>
          <w:trHeight w:val="586"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0D6A2F5D">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86" w:name="_Toc144907430"/>
            <w:bookmarkStart w:id="87" w:name="_Toc2155"/>
            <w:bookmarkStart w:id="88" w:name="_Toc144907065"/>
            <w:bookmarkStart w:id="89" w:name="_Toc19923"/>
            <w:bookmarkStart w:id="90" w:name="_Toc143443465"/>
            <w:r>
              <w:rPr>
                <w:rFonts w:hint="eastAsia" w:ascii="仿宋" w:hAnsi="仿宋" w:eastAsia="仿宋" w:cs="仿宋"/>
                <w:color w:val="auto"/>
                <w:kern w:val="0"/>
                <w:sz w:val="28"/>
                <w:szCs w:val="28"/>
                <w:highlight w:val="none"/>
              </w:rPr>
              <w:t>3</w:t>
            </w:r>
            <w:bookmarkEnd w:id="86"/>
            <w:bookmarkEnd w:id="87"/>
            <w:bookmarkEnd w:id="88"/>
            <w:bookmarkEnd w:id="89"/>
            <w:bookmarkEnd w:id="90"/>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82AF">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sz w:val="28"/>
                <w:szCs w:val="28"/>
                <w:highlight w:val="none"/>
              </w:rPr>
            </w:pPr>
            <w:bookmarkStart w:id="91" w:name="_Toc9742"/>
            <w:bookmarkEnd w:id="91"/>
            <w:bookmarkStart w:id="92" w:name="_Toc21366"/>
            <w:bookmarkEnd w:id="92"/>
            <w:bookmarkStart w:id="93" w:name="_Toc26767"/>
            <w:bookmarkEnd w:id="93"/>
            <w:bookmarkStart w:id="94" w:name="_Toc31403"/>
            <w:bookmarkEnd w:id="94"/>
            <w:bookmarkStart w:id="95" w:name="_Toc19303"/>
            <w:bookmarkEnd w:id="95"/>
            <w:bookmarkStart w:id="96" w:name="_Toc20465"/>
            <w:bookmarkEnd w:id="96"/>
            <w:bookmarkStart w:id="97" w:name="_Toc26365"/>
            <w:bookmarkEnd w:id="97"/>
            <w:bookmarkStart w:id="98" w:name="_Toc11115"/>
            <w:bookmarkEnd w:id="98"/>
            <w:bookmarkStart w:id="99" w:name="_Toc1829"/>
            <w:bookmarkStart w:id="100" w:name="_Toc144907431"/>
            <w:bookmarkStart w:id="101" w:name="_Toc143443466"/>
            <w:bookmarkStart w:id="102" w:name="_Toc144907066"/>
            <w:bookmarkStart w:id="103" w:name="_Toc6560"/>
            <w:r>
              <w:rPr>
                <w:rFonts w:hint="eastAsia" w:ascii="仿宋" w:hAnsi="仿宋" w:eastAsia="仿宋" w:cs="仿宋"/>
                <w:b w:val="0"/>
                <w:color w:val="auto"/>
                <w:sz w:val="28"/>
                <w:szCs w:val="28"/>
                <w:highlight w:val="none"/>
              </w:rPr>
              <w:t>项目名称</w:t>
            </w:r>
            <w:bookmarkEnd w:id="99"/>
            <w:bookmarkEnd w:id="100"/>
            <w:bookmarkEnd w:id="101"/>
            <w:bookmarkEnd w:id="102"/>
            <w:bookmarkEnd w:id="103"/>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33A28">
            <w:pPr>
              <w:keepNext w:val="0"/>
              <w:keepLines w:val="0"/>
              <w:pageBreakBefore w:val="0"/>
              <w:widowControl w:val="0"/>
              <w:kinsoku/>
              <w:wordWrap/>
              <w:overflowPunct/>
              <w:topLinePunct w:val="0"/>
              <w:autoSpaceDE/>
              <w:autoSpaceDN/>
              <w:bidi w:val="0"/>
              <w:adjustRightInd/>
              <w:snapToGrid/>
              <w:spacing w:before="144" w:beforeLines="50" w:line="360" w:lineRule="auto"/>
              <w:ind w:right="0" w:rightChars="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val="zh-CN"/>
              </w:rPr>
              <w:t>淮南牛肉汤检验检测中心、检验检测设备更新、食品安全监管基础设施建设项目前期咨询服务</w:t>
            </w:r>
          </w:p>
        </w:tc>
      </w:tr>
      <w:tr w14:paraId="497963F5">
        <w:tblPrEx>
          <w:tblCellMar>
            <w:top w:w="0" w:type="dxa"/>
            <w:left w:w="0" w:type="dxa"/>
            <w:bottom w:w="0" w:type="dxa"/>
            <w:right w:w="0" w:type="dxa"/>
          </w:tblCellMar>
        </w:tblPrEx>
        <w:trPr>
          <w:trHeight w:val="886"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10DF4C9A">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104" w:name="_Toc143443467"/>
            <w:bookmarkStart w:id="105" w:name="_Toc19459"/>
            <w:bookmarkStart w:id="106" w:name="_Toc30009"/>
            <w:bookmarkStart w:id="107" w:name="_Toc144907432"/>
            <w:bookmarkStart w:id="108" w:name="_Toc144907067"/>
            <w:r>
              <w:rPr>
                <w:rFonts w:hint="eastAsia" w:ascii="仿宋" w:hAnsi="仿宋" w:eastAsia="仿宋" w:cs="仿宋"/>
                <w:color w:val="auto"/>
                <w:kern w:val="0"/>
                <w:sz w:val="28"/>
                <w:szCs w:val="28"/>
                <w:highlight w:val="none"/>
              </w:rPr>
              <w:t>4</w:t>
            </w:r>
            <w:bookmarkEnd w:id="104"/>
            <w:bookmarkEnd w:id="105"/>
            <w:bookmarkEnd w:id="106"/>
            <w:bookmarkEnd w:id="107"/>
            <w:bookmarkEnd w:id="108"/>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7668">
            <w:pPr>
              <w:pStyle w:val="54"/>
              <w:keepNext w:val="0"/>
              <w:keepLines w:val="0"/>
              <w:pageBreakBefore w:val="0"/>
              <w:kinsoku/>
              <w:wordWrap/>
              <w:overflowPunct/>
              <w:topLinePunct w:val="0"/>
              <w:autoSpaceDE/>
              <w:autoSpaceDN/>
              <w:bidi w:val="0"/>
              <w:adjustRightInd/>
              <w:snapToGrid/>
              <w:spacing w:before="0" w:beforeAutospacing="0" w:after="0" w:afterAutospacing="0" w:line="460" w:lineRule="exact"/>
              <w:ind w:left="0" w:leftChars="0"/>
              <w:textAlignment w:val="auto"/>
              <w:rPr>
                <w:rFonts w:hint="eastAsia" w:ascii="仿宋" w:hAnsi="仿宋" w:eastAsia="仿宋" w:cs="仿宋"/>
                <w:b w:val="0"/>
                <w:bCs w:val="0"/>
                <w:color w:val="auto"/>
                <w:sz w:val="28"/>
                <w:szCs w:val="28"/>
                <w:highlight w:val="none"/>
              </w:rPr>
            </w:pPr>
            <w:bookmarkStart w:id="109" w:name="_Toc2984"/>
            <w:bookmarkEnd w:id="109"/>
            <w:bookmarkStart w:id="110" w:name="_Toc3798"/>
            <w:bookmarkEnd w:id="110"/>
            <w:bookmarkStart w:id="111" w:name="_Toc13522"/>
            <w:bookmarkEnd w:id="111"/>
            <w:bookmarkStart w:id="112" w:name="_Toc12389"/>
            <w:bookmarkEnd w:id="112"/>
            <w:r>
              <w:rPr>
                <w:rFonts w:hint="eastAsia" w:ascii="仿宋" w:hAnsi="仿宋" w:eastAsia="仿宋" w:cs="仿宋"/>
                <w:b w:val="0"/>
                <w:bCs w:val="0"/>
                <w:color w:val="auto"/>
                <w:sz w:val="28"/>
                <w:szCs w:val="28"/>
                <w:highlight w:val="none"/>
              </w:rPr>
              <w:t>标</w:t>
            </w:r>
            <w:r>
              <w:rPr>
                <w:rFonts w:hint="eastAsia" w:ascii="仿宋" w:hAnsi="仿宋" w:eastAsia="仿宋" w:cs="仿宋"/>
                <w:b w:val="0"/>
                <w:bCs w:val="0"/>
                <w:color w:val="auto"/>
                <w:sz w:val="28"/>
                <w:szCs w:val="28"/>
                <w:highlight w:val="none"/>
                <w:lang w:val="en-US" w:eastAsia="zh-CN"/>
              </w:rPr>
              <w:t>包</w:t>
            </w:r>
            <w:r>
              <w:rPr>
                <w:rFonts w:hint="eastAsia" w:ascii="仿宋" w:hAnsi="仿宋" w:eastAsia="仿宋" w:cs="仿宋"/>
                <w:b w:val="0"/>
                <w:bCs w:val="0"/>
                <w:color w:val="auto"/>
                <w:sz w:val="28"/>
                <w:szCs w:val="28"/>
                <w:highlight w:val="none"/>
              </w:rPr>
              <w:t>划分</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FDE2">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jc w:val="both"/>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rPr>
              <w:t xml:space="preserve">不分包 </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rPr>
              <w:t>分为</w:t>
            </w:r>
            <w:r>
              <w:rPr>
                <w:rFonts w:hint="eastAsia" w:ascii="仿宋" w:hAnsi="仿宋" w:eastAsia="仿宋" w:cs="仿宋"/>
                <w:b w:val="0"/>
                <w:color w:val="auto"/>
                <w:sz w:val="28"/>
                <w:szCs w:val="28"/>
                <w:highlight w:val="none"/>
                <w:lang w:val="en-US" w:eastAsia="zh-CN" w:bidi="ar"/>
              </w:rPr>
              <w:t>2</w:t>
            </w:r>
            <w:r>
              <w:rPr>
                <w:rFonts w:hint="eastAsia" w:ascii="仿宋" w:hAnsi="仿宋" w:eastAsia="仿宋" w:cs="仿宋"/>
                <w:b w:val="0"/>
                <w:bCs w:val="0"/>
                <w:color w:val="auto"/>
                <w:sz w:val="28"/>
                <w:szCs w:val="28"/>
                <w:highlight w:val="none"/>
              </w:rPr>
              <w:t>个包</w:t>
            </w:r>
          </w:p>
          <w:p w14:paraId="42DB6928">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rPr>
              <w:t>供应商参加多个包磋商的成交包数规定：</w:t>
            </w:r>
            <w:r>
              <w:rPr>
                <w:rFonts w:hint="eastAsia" w:ascii="仿宋" w:hAnsi="仿宋" w:eastAsia="仿宋" w:cs="仿宋"/>
                <w:b w:val="0"/>
                <w:bCs w:val="0"/>
                <w:color w:val="auto"/>
                <w:sz w:val="28"/>
                <w:szCs w:val="28"/>
                <w:highlight w:val="none"/>
                <w:lang w:val="en-US" w:eastAsia="zh-CN"/>
              </w:rPr>
              <w:t>/</w:t>
            </w:r>
          </w:p>
        </w:tc>
      </w:tr>
      <w:tr w14:paraId="08E0E813">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728B245A">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113" w:name="_Toc143443468"/>
            <w:bookmarkStart w:id="114" w:name="_Toc144907433"/>
            <w:bookmarkStart w:id="115" w:name="_Toc144907068"/>
            <w:r>
              <w:rPr>
                <w:rFonts w:hint="eastAsia" w:ascii="仿宋" w:hAnsi="仿宋" w:eastAsia="仿宋" w:cs="仿宋"/>
                <w:color w:val="auto"/>
                <w:kern w:val="0"/>
                <w:sz w:val="28"/>
                <w:szCs w:val="28"/>
                <w:highlight w:val="none"/>
              </w:rPr>
              <w:t>5</w:t>
            </w:r>
            <w:bookmarkEnd w:id="113"/>
            <w:bookmarkEnd w:id="114"/>
            <w:bookmarkEnd w:id="115"/>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E94A">
            <w:pPr>
              <w:pStyle w:val="54"/>
              <w:keepNext w:val="0"/>
              <w:keepLines w:val="0"/>
              <w:pageBreakBefore w:val="0"/>
              <w:kinsoku/>
              <w:wordWrap/>
              <w:overflowPunct/>
              <w:topLinePunct w:val="0"/>
              <w:autoSpaceDE/>
              <w:autoSpaceDN/>
              <w:bidi w:val="0"/>
              <w:adjustRightInd/>
              <w:snapToGrid/>
              <w:spacing w:before="0" w:beforeAutospacing="0" w:after="0" w:afterAutospacing="0" w:line="460" w:lineRule="exact"/>
              <w:ind w:left="0" w:leftChars="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是否允许联合体</w:t>
            </w:r>
          </w:p>
          <w:p w14:paraId="2CD23A65">
            <w:pPr>
              <w:pStyle w:val="54"/>
              <w:keepNext w:val="0"/>
              <w:keepLines w:val="0"/>
              <w:pageBreakBefore w:val="0"/>
              <w:kinsoku/>
              <w:wordWrap/>
              <w:overflowPunct/>
              <w:topLinePunct w:val="0"/>
              <w:autoSpaceDE/>
              <w:autoSpaceDN/>
              <w:bidi w:val="0"/>
              <w:adjustRightInd/>
              <w:snapToGrid/>
              <w:spacing w:before="0" w:beforeAutospacing="0" w:after="0" w:afterAutospacing="0" w:line="460" w:lineRule="exact"/>
              <w:ind w:left="0" w:leftChars="0"/>
              <w:textAlignment w:val="auto"/>
              <w:rPr>
                <w:rFonts w:hint="eastAsia" w:ascii="仿宋" w:hAnsi="仿宋" w:eastAsia="仿宋" w:cs="仿宋"/>
                <w:b w:val="0"/>
                <w:bCs w:val="0"/>
                <w:color w:val="auto"/>
                <w:kern w:val="0"/>
                <w:sz w:val="28"/>
                <w:szCs w:val="28"/>
                <w:highlight w:val="none"/>
                <w:lang w:val="en-US" w:eastAsia="zh-CN" w:bidi="ar-SA"/>
              </w:rPr>
            </w:pPr>
            <w:r>
              <w:rPr>
                <w:rFonts w:hint="eastAsia" w:ascii="仿宋" w:hAnsi="仿宋" w:eastAsia="仿宋" w:cs="仿宋"/>
                <w:b w:val="0"/>
                <w:bCs w:val="0"/>
                <w:color w:val="auto"/>
                <w:sz w:val="28"/>
                <w:szCs w:val="28"/>
                <w:highlight w:val="none"/>
              </w:rPr>
              <w:t>参加磋商</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EE38F">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jc w:val="both"/>
              <w:textAlignment w:val="auto"/>
              <w:rPr>
                <w:rFonts w:hint="eastAsia" w:ascii="仿宋" w:hAnsi="仿宋" w:eastAsia="仿宋" w:cs="仿宋"/>
                <w:b w:val="0"/>
                <w:bCs w:val="0"/>
                <w:color w:val="auto"/>
                <w:kern w:val="0"/>
                <w:sz w:val="28"/>
                <w:szCs w:val="28"/>
                <w:highlight w:val="none"/>
                <w:lang w:val="en-US" w:eastAsia="zh-CN" w:bidi="ar-SA"/>
              </w:rPr>
            </w:pPr>
            <w:r>
              <w:rPr>
                <w:rFonts w:hint="eastAsia" w:ascii="仿宋" w:hAnsi="仿宋" w:eastAsia="仿宋" w:cs="仿宋"/>
                <w:b w:val="0"/>
                <w:bCs w:val="0"/>
                <w:color w:val="auto"/>
                <w:sz w:val="28"/>
                <w:szCs w:val="28"/>
                <w:highlight w:val="none"/>
              </w:rPr>
              <w:t>否</w:t>
            </w:r>
          </w:p>
        </w:tc>
      </w:tr>
      <w:tr w14:paraId="67D49801">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0D6B93AC">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116" w:name="_Toc144907434"/>
            <w:bookmarkStart w:id="117" w:name="_Toc143443469"/>
            <w:bookmarkStart w:id="118" w:name="_Toc144907069"/>
            <w:r>
              <w:rPr>
                <w:rFonts w:hint="eastAsia" w:ascii="仿宋" w:hAnsi="仿宋" w:eastAsia="仿宋" w:cs="仿宋"/>
                <w:color w:val="auto"/>
                <w:kern w:val="0"/>
                <w:sz w:val="28"/>
                <w:szCs w:val="28"/>
                <w:highlight w:val="none"/>
              </w:rPr>
              <w:t>6</w:t>
            </w:r>
            <w:bookmarkEnd w:id="116"/>
            <w:bookmarkEnd w:id="117"/>
            <w:bookmarkEnd w:id="118"/>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2163">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sz w:val="28"/>
                <w:szCs w:val="28"/>
                <w:highlight w:val="none"/>
              </w:rPr>
              <w:t>资金来源</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5EE9D">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sz w:val="28"/>
                <w:szCs w:val="28"/>
                <w:highlight w:val="none"/>
              </w:rPr>
              <w:t>财政资金</w:t>
            </w:r>
          </w:p>
        </w:tc>
      </w:tr>
      <w:tr w14:paraId="461C902F">
        <w:tblPrEx>
          <w:tblCellMar>
            <w:top w:w="0" w:type="dxa"/>
            <w:left w:w="0" w:type="dxa"/>
            <w:bottom w:w="0" w:type="dxa"/>
            <w:right w:w="0" w:type="dxa"/>
          </w:tblCellMar>
        </w:tblPrEx>
        <w:trPr>
          <w:trHeight w:val="500"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0CD6EAD2">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119" w:name="_Toc143443470"/>
            <w:bookmarkStart w:id="120" w:name="_Toc144907435"/>
            <w:bookmarkStart w:id="121" w:name="_Toc144907070"/>
            <w:r>
              <w:rPr>
                <w:rFonts w:hint="eastAsia" w:ascii="仿宋" w:hAnsi="仿宋" w:eastAsia="仿宋" w:cs="仿宋"/>
                <w:color w:val="auto"/>
                <w:kern w:val="0"/>
                <w:sz w:val="28"/>
                <w:szCs w:val="28"/>
                <w:highlight w:val="none"/>
              </w:rPr>
              <w:t>7</w:t>
            </w:r>
            <w:bookmarkEnd w:id="119"/>
            <w:bookmarkEnd w:id="120"/>
            <w:bookmarkEnd w:id="121"/>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51CCA">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bookmarkStart w:id="122" w:name="_Toc27407"/>
            <w:bookmarkEnd w:id="122"/>
            <w:bookmarkStart w:id="123" w:name="_Toc27986"/>
            <w:bookmarkEnd w:id="123"/>
            <w:bookmarkStart w:id="124" w:name="_Toc10556"/>
            <w:bookmarkEnd w:id="124"/>
            <w:bookmarkStart w:id="125" w:name="_Toc24367"/>
            <w:bookmarkEnd w:id="125"/>
            <w:bookmarkStart w:id="126" w:name="_Toc26661"/>
            <w:bookmarkEnd w:id="126"/>
            <w:bookmarkStart w:id="127" w:name="_Toc17299"/>
            <w:bookmarkEnd w:id="127"/>
            <w:bookmarkStart w:id="128" w:name="_Toc447"/>
            <w:bookmarkEnd w:id="128"/>
            <w:bookmarkStart w:id="129" w:name="_Toc13829"/>
            <w:bookmarkEnd w:id="129"/>
            <w:r>
              <w:rPr>
                <w:rFonts w:hint="eastAsia" w:ascii="仿宋" w:hAnsi="仿宋" w:eastAsia="仿宋" w:cs="仿宋"/>
                <w:b w:val="0"/>
                <w:color w:val="auto"/>
                <w:sz w:val="28"/>
                <w:szCs w:val="28"/>
                <w:highlight w:val="none"/>
              </w:rPr>
              <w:t>采购范围</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02A30">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rPr>
                <w:rFonts w:hint="default" w:ascii="仿宋" w:hAnsi="仿宋" w:eastAsia="仿宋" w:cs="仿宋"/>
                <w:b w:val="0"/>
                <w:color w:val="auto"/>
                <w:kern w:val="0"/>
                <w:sz w:val="28"/>
                <w:szCs w:val="28"/>
                <w:highlight w:val="none"/>
                <w:lang w:val="en-US" w:eastAsia="zh-CN" w:bidi="ar-SA"/>
              </w:rPr>
            </w:pPr>
            <w:bookmarkStart w:id="130" w:name="_Toc981"/>
            <w:bookmarkEnd w:id="130"/>
            <w:bookmarkStart w:id="131" w:name="_Toc8464"/>
            <w:bookmarkEnd w:id="131"/>
            <w:bookmarkStart w:id="132" w:name="_Toc13876"/>
            <w:bookmarkEnd w:id="132"/>
            <w:bookmarkStart w:id="133" w:name="_Toc18480"/>
            <w:bookmarkEnd w:id="133"/>
            <w:r>
              <w:rPr>
                <w:rFonts w:hint="eastAsia" w:ascii="仿宋" w:hAnsi="仿宋" w:eastAsia="仿宋" w:cs="仿宋"/>
                <w:b w:val="0"/>
                <w:color w:val="auto"/>
                <w:kern w:val="0"/>
                <w:sz w:val="28"/>
                <w:szCs w:val="28"/>
                <w:highlight w:val="none"/>
                <w:lang w:val="en-US" w:eastAsia="zh-CN" w:bidi="ar-SA"/>
              </w:rPr>
              <w:t>详见采购需求</w:t>
            </w:r>
          </w:p>
        </w:tc>
      </w:tr>
      <w:tr w14:paraId="0A14EC88">
        <w:tblPrEx>
          <w:tblCellMar>
            <w:top w:w="0" w:type="dxa"/>
            <w:left w:w="0" w:type="dxa"/>
            <w:bottom w:w="0" w:type="dxa"/>
            <w:right w:w="0" w:type="dxa"/>
          </w:tblCellMar>
        </w:tblPrEx>
        <w:trPr>
          <w:trHeight w:val="545"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4186B1C9">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134" w:name="_Toc144907438"/>
            <w:bookmarkStart w:id="135" w:name="_Toc143443473"/>
            <w:bookmarkStart w:id="136" w:name="_Toc144907073"/>
            <w:r>
              <w:rPr>
                <w:rFonts w:hint="eastAsia" w:ascii="仿宋" w:hAnsi="仿宋" w:eastAsia="仿宋" w:cs="仿宋"/>
                <w:color w:val="auto"/>
                <w:kern w:val="0"/>
                <w:sz w:val="28"/>
                <w:szCs w:val="28"/>
                <w:highlight w:val="none"/>
              </w:rPr>
              <w:t>8</w:t>
            </w:r>
            <w:bookmarkEnd w:id="134"/>
            <w:bookmarkEnd w:id="135"/>
            <w:bookmarkEnd w:id="136"/>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4302">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bookmarkStart w:id="137" w:name="_Toc8929"/>
            <w:bookmarkEnd w:id="137"/>
            <w:bookmarkStart w:id="138" w:name="_Toc2735"/>
            <w:bookmarkEnd w:id="138"/>
            <w:bookmarkStart w:id="139" w:name="_Toc12049"/>
            <w:bookmarkEnd w:id="139"/>
            <w:bookmarkStart w:id="140" w:name="_Toc24807"/>
            <w:bookmarkEnd w:id="140"/>
            <w:bookmarkStart w:id="141" w:name="_Toc21061"/>
            <w:bookmarkEnd w:id="141"/>
            <w:bookmarkStart w:id="142" w:name="_Toc32670"/>
            <w:bookmarkEnd w:id="142"/>
            <w:bookmarkStart w:id="143" w:name="_Toc18419"/>
            <w:bookmarkEnd w:id="143"/>
            <w:bookmarkStart w:id="144" w:name="_Toc1343"/>
            <w:bookmarkEnd w:id="144"/>
            <w:bookmarkStart w:id="145" w:name="_Toc15071"/>
            <w:bookmarkEnd w:id="145"/>
            <w:bookmarkStart w:id="146" w:name="_Toc9388"/>
            <w:bookmarkEnd w:id="146"/>
            <w:bookmarkStart w:id="147" w:name="_Toc25714"/>
            <w:bookmarkEnd w:id="147"/>
            <w:bookmarkStart w:id="148" w:name="_Toc4528"/>
            <w:bookmarkEnd w:id="148"/>
            <w:r>
              <w:rPr>
                <w:rFonts w:hint="eastAsia" w:ascii="仿宋" w:hAnsi="仿宋" w:eastAsia="仿宋" w:cs="仿宋"/>
                <w:b w:val="0"/>
                <w:color w:val="auto"/>
                <w:sz w:val="28"/>
                <w:szCs w:val="28"/>
                <w:highlight w:val="none"/>
              </w:rPr>
              <w:t>报价要求</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6D85">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eastAsia" w:ascii="仿宋" w:hAnsi="仿宋" w:eastAsia="仿宋" w:cs="仿宋"/>
                <w:b w:val="0"/>
                <w:bCs w:val="0"/>
                <w:color w:val="auto"/>
                <w:sz w:val="28"/>
                <w:szCs w:val="28"/>
                <w:highlight w:val="none"/>
                <w:lang w:val="en-US" w:eastAsia="zh-CN"/>
              </w:rPr>
            </w:pPr>
            <w:bookmarkStart w:id="149" w:name="_Toc32573"/>
            <w:bookmarkEnd w:id="149"/>
            <w:bookmarkStart w:id="150" w:name="_Toc30579"/>
            <w:bookmarkEnd w:id="150"/>
            <w:bookmarkStart w:id="151" w:name="_Toc14235"/>
            <w:bookmarkEnd w:id="151"/>
            <w:bookmarkStart w:id="152" w:name="_Toc12454"/>
            <w:bookmarkEnd w:id="152"/>
            <w:bookmarkStart w:id="153" w:name="OLE_LINK5"/>
            <w:r>
              <w:rPr>
                <w:rFonts w:hint="eastAsia" w:ascii="仿宋" w:hAnsi="仿宋" w:eastAsia="仿宋" w:cs="仿宋"/>
                <w:b w:val="0"/>
                <w:bCs w:val="0"/>
                <w:color w:val="auto"/>
                <w:sz w:val="28"/>
                <w:szCs w:val="28"/>
                <w:highlight w:val="none"/>
                <w:lang w:val="en-US" w:eastAsia="zh-CN"/>
              </w:rPr>
              <w:t>1.报价唯一，且不超过最高投标限价。</w:t>
            </w:r>
          </w:p>
          <w:p w14:paraId="5A5C522C">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val="0"/>
                <w:bCs w:val="0"/>
                <w:color w:val="auto"/>
                <w:sz w:val="28"/>
                <w:szCs w:val="28"/>
                <w:highlight w:val="none"/>
                <w:lang w:val="en-US" w:eastAsia="zh-CN"/>
              </w:rPr>
              <w:t>2.各潜在供应商需自行考察，结合本项目进行综合报价，投标报价应包含人员工资、社会保险、管理费、利润等完成本项目所发生的一切费用。</w:t>
            </w:r>
            <w:bookmarkEnd w:id="153"/>
          </w:p>
        </w:tc>
      </w:tr>
      <w:tr w14:paraId="14D01AFA">
        <w:tblPrEx>
          <w:tblCellMar>
            <w:top w:w="0" w:type="dxa"/>
            <w:left w:w="0" w:type="dxa"/>
            <w:bottom w:w="0" w:type="dxa"/>
            <w:right w:w="0" w:type="dxa"/>
          </w:tblCellMar>
        </w:tblPrEx>
        <w:trPr>
          <w:trHeight w:val="560"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750BB4B8">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154" w:name="_Toc144907441"/>
            <w:bookmarkStart w:id="155" w:name="_Toc144907076"/>
            <w:bookmarkStart w:id="156" w:name="_Toc143443476"/>
            <w:r>
              <w:rPr>
                <w:rFonts w:hint="eastAsia" w:ascii="仿宋" w:hAnsi="仿宋" w:eastAsia="仿宋" w:cs="仿宋"/>
                <w:color w:val="auto"/>
                <w:kern w:val="0"/>
                <w:sz w:val="28"/>
                <w:szCs w:val="28"/>
                <w:highlight w:val="none"/>
              </w:rPr>
              <w:t>9</w:t>
            </w:r>
            <w:bookmarkEnd w:id="154"/>
            <w:bookmarkEnd w:id="155"/>
            <w:bookmarkEnd w:id="156"/>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071C3">
            <w:pPr>
              <w:pStyle w:val="2"/>
              <w:keepNext w:val="0"/>
              <w:keepLines w:val="0"/>
              <w:pageBreakBefore w:val="0"/>
              <w:kinsoku/>
              <w:wordWrap/>
              <w:overflowPunct/>
              <w:topLinePunct w:val="0"/>
              <w:autoSpaceDE/>
              <w:autoSpaceDN/>
              <w:bidi w:val="0"/>
              <w:adjustRightInd/>
              <w:snapToGrid/>
              <w:spacing w:line="460" w:lineRule="exact"/>
              <w:ind w:left="0" w:leftChars="0" w:firstLine="280" w:firstLineChars="100"/>
              <w:jc w:val="both"/>
              <w:textAlignment w:val="auto"/>
              <w:rPr>
                <w:rFonts w:hint="eastAsia" w:ascii="仿宋" w:hAnsi="仿宋" w:eastAsia="仿宋" w:cs="仿宋"/>
                <w:b w:val="0"/>
                <w:color w:val="000000" w:themeColor="text1"/>
                <w:kern w:val="0"/>
                <w:sz w:val="28"/>
                <w:szCs w:val="28"/>
                <w:highlight w:val="none"/>
                <w:lang w:val="en-US" w:eastAsia="zh-CN" w:bidi="ar-SA"/>
                <w14:textFill>
                  <w14:solidFill>
                    <w14:schemeClr w14:val="tx1"/>
                  </w14:solidFill>
                </w14:textFill>
              </w:rPr>
            </w:pPr>
            <w:bookmarkStart w:id="157" w:name="_Toc15433"/>
            <w:bookmarkEnd w:id="157"/>
            <w:bookmarkStart w:id="158" w:name="_Toc21015"/>
            <w:bookmarkEnd w:id="158"/>
            <w:bookmarkStart w:id="159" w:name="_Toc3488"/>
            <w:bookmarkEnd w:id="159"/>
            <w:bookmarkStart w:id="160" w:name="_Toc20382"/>
            <w:bookmarkEnd w:id="160"/>
            <w:bookmarkStart w:id="161" w:name="_Toc18840"/>
            <w:bookmarkEnd w:id="161"/>
            <w:bookmarkStart w:id="162" w:name="_Toc28478"/>
            <w:bookmarkEnd w:id="162"/>
            <w:bookmarkStart w:id="163" w:name="_Toc18320"/>
            <w:bookmarkEnd w:id="163"/>
            <w:bookmarkStart w:id="164" w:name="_Toc3121"/>
            <w:bookmarkEnd w:id="164"/>
            <w:r>
              <w:rPr>
                <w:rFonts w:hint="eastAsia" w:ascii="仿宋" w:hAnsi="仿宋" w:eastAsia="仿宋" w:cs="仿宋"/>
                <w:b w:val="0"/>
                <w:color w:val="000000" w:themeColor="text1"/>
                <w:sz w:val="28"/>
                <w:szCs w:val="28"/>
                <w:highlight w:val="none"/>
                <w14:textFill>
                  <w14:solidFill>
                    <w14:schemeClr w14:val="tx1"/>
                  </w14:solidFill>
                </w14:textFill>
              </w:rPr>
              <w:t>合同履行期限</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F60B">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180日</w:t>
            </w:r>
          </w:p>
        </w:tc>
      </w:tr>
      <w:tr w14:paraId="526D4C0B">
        <w:tblPrEx>
          <w:tblCellMar>
            <w:top w:w="0" w:type="dxa"/>
            <w:left w:w="0" w:type="dxa"/>
            <w:bottom w:w="0" w:type="dxa"/>
            <w:right w:w="0" w:type="dxa"/>
          </w:tblCellMar>
        </w:tblPrEx>
        <w:trPr>
          <w:trHeight w:val="545"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05D2F411">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165" w:name="_Toc144907078"/>
            <w:bookmarkStart w:id="166" w:name="_Toc143443478"/>
            <w:bookmarkStart w:id="167" w:name="_Toc144907443"/>
            <w:r>
              <w:rPr>
                <w:rFonts w:hint="eastAsia" w:ascii="仿宋" w:hAnsi="仿宋" w:eastAsia="仿宋" w:cs="仿宋"/>
                <w:color w:val="auto"/>
                <w:kern w:val="0"/>
                <w:sz w:val="28"/>
                <w:szCs w:val="28"/>
                <w:highlight w:val="none"/>
              </w:rPr>
              <w:t>10</w:t>
            </w:r>
            <w:bookmarkEnd w:id="165"/>
            <w:bookmarkEnd w:id="166"/>
            <w:bookmarkEnd w:id="167"/>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6625C">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bookmarkStart w:id="168" w:name="_Toc7315"/>
            <w:bookmarkEnd w:id="168"/>
            <w:bookmarkStart w:id="169" w:name="_Toc7418"/>
            <w:bookmarkEnd w:id="169"/>
            <w:r>
              <w:rPr>
                <w:rFonts w:hint="eastAsia" w:ascii="仿宋" w:hAnsi="仿宋" w:eastAsia="仿宋" w:cs="仿宋"/>
                <w:b w:val="0"/>
                <w:color w:val="auto"/>
                <w:sz w:val="28"/>
                <w:szCs w:val="28"/>
                <w:highlight w:val="none"/>
              </w:rPr>
              <w:t>供应商资质条件</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A00E3">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default" w:ascii="仿宋" w:hAnsi="仿宋" w:eastAsia="仿宋" w:cs="仿宋"/>
                <w:b/>
                <w:bCs/>
                <w:color w:val="auto"/>
                <w:kern w:val="0"/>
                <w:sz w:val="28"/>
                <w:szCs w:val="28"/>
                <w:highlight w:val="none"/>
                <w:lang w:val="en-US" w:eastAsia="zh-CN" w:bidi="ar-SA"/>
              </w:rPr>
            </w:pPr>
            <w:r>
              <w:rPr>
                <w:rFonts w:hint="eastAsia" w:ascii="仿宋" w:hAnsi="仿宋" w:eastAsia="仿宋" w:cs="仿宋"/>
                <w:b w:val="0"/>
                <w:bCs w:val="0"/>
                <w:color w:val="auto"/>
                <w:kern w:val="0"/>
                <w:sz w:val="28"/>
                <w:szCs w:val="28"/>
                <w:highlight w:val="none"/>
                <w:lang w:val="en-US" w:eastAsia="zh-CN" w:bidi="ar-SA"/>
              </w:rPr>
              <w:t>详见公告</w:t>
            </w:r>
          </w:p>
        </w:tc>
      </w:tr>
      <w:tr w14:paraId="696B3027">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4BDFE247">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170" w:name="_Toc144907080"/>
            <w:bookmarkStart w:id="171" w:name="_Toc144907445"/>
            <w:bookmarkStart w:id="172" w:name="_Toc143443480"/>
            <w:r>
              <w:rPr>
                <w:rFonts w:hint="eastAsia" w:ascii="仿宋" w:hAnsi="仿宋" w:eastAsia="仿宋" w:cs="仿宋"/>
                <w:color w:val="auto"/>
                <w:kern w:val="0"/>
                <w:sz w:val="28"/>
                <w:szCs w:val="28"/>
                <w:highlight w:val="none"/>
              </w:rPr>
              <w:t>11</w:t>
            </w:r>
            <w:bookmarkEnd w:id="170"/>
            <w:bookmarkEnd w:id="171"/>
            <w:bookmarkEnd w:id="172"/>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60CF">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bookmarkStart w:id="173" w:name="_Toc25390"/>
            <w:bookmarkEnd w:id="173"/>
            <w:r>
              <w:rPr>
                <w:rFonts w:hint="eastAsia" w:ascii="仿宋" w:hAnsi="仿宋" w:eastAsia="仿宋" w:cs="仿宋"/>
                <w:b w:val="0"/>
                <w:color w:val="auto"/>
                <w:sz w:val="28"/>
                <w:szCs w:val="28"/>
                <w:highlight w:val="none"/>
              </w:rPr>
              <w:t>踏勘现场</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058BA">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rPr>
                <w:rFonts w:hint="eastAsia" w:ascii="仿宋" w:hAnsi="仿宋" w:eastAsia="仿宋" w:cs="仿宋"/>
                <w:b w:val="0"/>
                <w:color w:val="auto"/>
                <w:kern w:val="0"/>
                <w:sz w:val="28"/>
                <w:szCs w:val="28"/>
                <w:highlight w:val="none"/>
                <w:lang w:val="en-US" w:eastAsia="zh-CN" w:bidi="ar-SA"/>
              </w:rPr>
            </w:pPr>
            <w:bookmarkStart w:id="174" w:name="_Toc29692"/>
            <w:bookmarkEnd w:id="174"/>
            <w:r>
              <w:rPr>
                <w:rFonts w:hint="eastAsia" w:ascii="仿宋" w:hAnsi="仿宋" w:eastAsia="仿宋" w:cs="仿宋"/>
                <w:b w:val="0"/>
                <w:color w:val="auto"/>
                <w:sz w:val="28"/>
                <w:szCs w:val="28"/>
                <w:highlight w:val="none"/>
              </w:rPr>
              <w:t>不组织，供应商自行考察</w:t>
            </w:r>
          </w:p>
        </w:tc>
      </w:tr>
      <w:tr w14:paraId="1417E608">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6B60C618">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175" w:name="_Toc143443482"/>
            <w:bookmarkStart w:id="176" w:name="_Toc144907082"/>
            <w:bookmarkStart w:id="177" w:name="_Toc144907447"/>
            <w:r>
              <w:rPr>
                <w:rFonts w:hint="eastAsia" w:ascii="仿宋" w:hAnsi="仿宋" w:eastAsia="仿宋" w:cs="仿宋"/>
                <w:color w:val="auto"/>
                <w:kern w:val="0"/>
                <w:sz w:val="28"/>
                <w:szCs w:val="28"/>
                <w:highlight w:val="none"/>
              </w:rPr>
              <w:t>12</w:t>
            </w:r>
            <w:bookmarkEnd w:id="175"/>
            <w:bookmarkEnd w:id="176"/>
            <w:bookmarkEnd w:id="177"/>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A38F">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bookmarkStart w:id="178" w:name="_Toc32544"/>
            <w:bookmarkEnd w:id="178"/>
            <w:r>
              <w:rPr>
                <w:rFonts w:hint="eastAsia" w:ascii="仿宋" w:hAnsi="仿宋" w:eastAsia="仿宋" w:cs="仿宋"/>
                <w:b w:val="0"/>
                <w:color w:val="auto"/>
                <w:sz w:val="28"/>
                <w:szCs w:val="28"/>
                <w:highlight w:val="none"/>
              </w:rPr>
              <w:t>磋商预备会</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1D978">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rPr>
                <w:rFonts w:hint="eastAsia" w:ascii="仿宋" w:hAnsi="仿宋" w:eastAsia="仿宋" w:cs="仿宋"/>
                <w:b w:val="0"/>
                <w:color w:val="auto"/>
                <w:kern w:val="0"/>
                <w:sz w:val="28"/>
                <w:szCs w:val="28"/>
                <w:highlight w:val="none"/>
                <w:lang w:val="en-US" w:eastAsia="zh-CN" w:bidi="ar-SA"/>
              </w:rPr>
            </w:pPr>
            <w:bookmarkStart w:id="179" w:name="_Toc8346"/>
            <w:bookmarkEnd w:id="179"/>
            <w:r>
              <w:rPr>
                <w:rFonts w:hint="eastAsia" w:ascii="仿宋" w:hAnsi="仿宋" w:eastAsia="仿宋" w:cs="仿宋"/>
                <w:b w:val="0"/>
                <w:color w:val="auto"/>
                <w:sz w:val="28"/>
                <w:szCs w:val="28"/>
                <w:highlight w:val="none"/>
              </w:rPr>
              <w:t>不召开</w:t>
            </w:r>
          </w:p>
        </w:tc>
      </w:tr>
      <w:tr w14:paraId="73998C91">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0E5A9449">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180" w:name="_Toc144907454"/>
            <w:bookmarkStart w:id="181" w:name="_Toc144907089"/>
            <w:bookmarkStart w:id="182" w:name="_Toc143443489"/>
            <w:r>
              <w:rPr>
                <w:rFonts w:hint="eastAsia" w:ascii="仿宋" w:hAnsi="仿宋" w:eastAsia="仿宋" w:cs="仿宋"/>
                <w:color w:val="auto"/>
                <w:kern w:val="0"/>
                <w:sz w:val="28"/>
                <w:szCs w:val="28"/>
                <w:highlight w:val="none"/>
              </w:rPr>
              <w:t>13</w:t>
            </w:r>
            <w:bookmarkEnd w:id="180"/>
            <w:bookmarkEnd w:id="181"/>
            <w:bookmarkEnd w:id="182"/>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D4EE">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bookmarkStart w:id="183" w:name="_Toc29045"/>
            <w:bookmarkEnd w:id="183"/>
            <w:r>
              <w:rPr>
                <w:rFonts w:hint="eastAsia" w:ascii="仿宋" w:hAnsi="仿宋" w:eastAsia="仿宋" w:cs="仿宋"/>
                <w:b w:val="0"/>
                <w:color w:val="auto"/>
                <w:sz w:val="28"/>
                <w:szCs w:val="28"/>
                <w:highlight w:val="none"/>
              </w:rPr>
              <w:t>磋商有效期</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82C3D">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rPr>
                <w:rFonts w:hint="eastAsia" w:ascii="仿宋" w:hAnsi="仿宋" w:eastAsia="仿宋" w:cs="仿宋"/>
                <w:b w:val="0"/>
                <w:color w:val="auto"/>
                <w:kern w:val="0"/>
                <w:sz w:val="28"/>
                <w:szCs w:val="28"/>
                <w:highlight w:val="none"/>
                <w:lang w:val="en-US" w:eastAsia="zh-CN" w:bidi="ar-SA"/>
              </w:rPr>
            </w:pPr>
            <w:bookmarkStart w:id="184" w:name="_Toc11268"/>
            <w:bookmarkEnd w:id="184"/>
            <w:r>
              <w:rPr>
                <w:rFonts w:hint="eastAsia" w:ascii="仿宋" w:hAnsi="仿宋" w:eastAsia="仿宋" w:cs="仿宋"/>
                <w:b w:val="0"/>
                <w:color w:val="auto"/>
                <w:sz w:val="28"/>
                <w:szCs w:val="28"/>
                <w:highlight w:val="none"/>
              </w:rPr>
              <w:t>从响应截止之</w:t>
            </w:r>
            <w:r>
              <w:rPr>
                <w:rFonts w:hint="eastAsia" w:ascii="仿宋" w:hAnsi="仿宋" w:eastAsia="仿宋" w:cs="仿宋"/>
                <w:b w:val="0"/>
                <w:bCs w:val="0"/>
                <w:color w:val="auto"/>
                <w:sz w:val="28"/>
                <w:szCs w:val="28"/>
                <w:highlight w:val="none"/>
              </w:rPr>
              <w:t>日起</w:t>
            </w:r>
            <w:r>
              <w:rPr>
                <w:rFonts w:hint="eastAsia" w:ascii="仿宋" w:hAnsi="仿宋" w:eastAsia="仿宋" w:cs="仿宋"/>
                <w:b w:val="0"/>
                <w:bCs w:val="0"/>
                <w:color w:val="auto"/>
                <w:sz w:val="28"/>
                <w:szCs w:val="28"/>
                <w:highlight w:val="none"/>
                <w:lang w:val="en-US" w:eastAsia="zh-CN" w:bidi="ar"/>
              </w:rPr>
              <w:t>90</w:t>
            </w:r>
            <w:r>
              <w:rPr>
                <w:rFonts w:hint="eastAsia" w:ascii="仿宋" w:hAnsi="仿宋" w:eastAsia="仿宋" w:cs="仿宋"/>
                <w:b w:val="0"/>
                <w:bCs w:val="0"/>
                <w:color w:val="auto"/>
                <w:sz w:val="28"/>
                <w:szCs w:val="28"/>
                <w:highlight w:val="none"/>
              </w:rPr>
              <w:t>日</w:t>
            </w:r>
          </w:p>
        </w:tc>
      </w:tr>
      <w:tr w14:paraId="51530267">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2774FABE">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185" w:name="_Toc144907092"/>
            <w:bookmarkStart w:id="186" w:name="_Toc144907457"/>
            <w:bookmarkStart w:id="187" w:name="_Toc143443492"/>
            <w:r>
              <w:rPr>
                <w:rFonts w:hint="eastAsia" w:ascii="仿宋" w:hAnsi="仿宋" w:eastAsia="仿宋" w:cs="仿宋"/>
                <w:color w:val="auto"/>
                <w:kern w:val="0"/>
                <w:sz w:val="28"/>
                <w:szCs w:val="28"/>
                <w:highlight w:val="none"/>
              </w:rPr>
              <w:t>14</w:t>
            </w:r>
            <w:bookmarkEnd w:id="185"/>
            <w:bookmarkEnd w:id="186"/>
            <w:bookmarkEnd w:id="187"/>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970E4">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sz w:val="28"/>
                <w:szCs w:val="28"/>
                <w:highlight w:val="none"/>
              </w:rPr>
              <w:t>磋商保证金</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E211">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left"/>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z w:val="28"/>
                <w:szCs w:val="28"/>
                <w:highlight w:val="none"/>
              </w:rPr>
              <w:t>本项目</w:t>
            </w:r>
            <w:r>
              <w:rPr>
                <w:rFonts w:hint="eastAsia" w:ascii="仿宋" w:hAnsi="仿宋" w:eastAsia="仿宋" w:cs="仿宋"/>
                <w:color w:val="auto"/>
                <w:sz w:val="28"/>
                <w:szCs w:val="28"/>
                <w:highlight w:val="none"/>
                <w:shd w:val="clear" w:color="auto" w:fill="FFFFFF"/>
              </w:rPr>
              <w:t>免收磋商保证</w:t>
            </w:r>
          </w:p>
        </w:tc>
      </w:tr>
      <w:tr w14:paraId="0C20F3AB">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1C9DE6B2">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188" w:name="_Toc144907095"/>
            <w:bookmarkStart w:id="189" w:name="_Toc143443495"/>
            <w:bookmarkStart w:id="190" w:name="_Toc144907460"/>
            <w:r>
              <w:rPr>
                <w:rFonts w:hint="eastAsia" w:ascii="仿宋" w:hAnsi="仿宋" w:eastAsia="仿宋" w:cs="仿宋"/>
                <w:color w:val="auto"/>
                <w:kern w:val="0"/>
                <w:sz w:val="28"/>
                <w:szCs w:val="28"/>
                <w:highlight w:val="none"/>
              </w:rPr>
              <w:t>15</w:t>
            </w:r>
            <w:bookmarkEnd w:id="188"/>
            <w:bookmarkEnd w:id="189"/>
            <w:bookmarkEnd w:id="190"/>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8094">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sz w:val="28"/>
                <w:szCs w:val="28"/>
                <w:highlight w:val="none"/>
              </w:rPr>
              <w:t>供应商提出问题的截止时间</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94179">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sz w:val="28"/>
                <w:szCs w:val="28"/>
                <w:highlight w:val="none"/>
              </w:rPr>
              <w:t>响应截止时间5日前</w:t>
            </w:r>
          </w:p>
        </w:tc>
      </w:tr>
      <w:tr w14:paraId="146A0EC8">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1B228180">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191" w:name="_Toc143443497"/>
            <w:bookmarkStart w:id="192" w:name="_Toc144907097"/>
            <w:bookmarkStart w:id="193" w:name="_Toc144907462"/>
            <w:r>
              <w:rPr>
                <w:rFonts w:hint="eastAsia" w:ascii="仿宋" w:hAnsi="仿宋" w:eastAsia="仿宋" w:cs="仿宋"/>
                <w:color w:val="auto"/>
                <w:kern w:val="0"/>
                <w:sz w:val="28"/>
                <w:szCs w:val="28"/>
                <w:highlight w:val="none"/>
              </w:rPr>
              <w:t>16</w:t>
            </w:r>
            <w:bookmarkEnd w:id="191"/>
            <w:bookmarkEnd w:id="192"/>
            <w:bookmarkEnd w:id="193"/>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35A6">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仿宋" w:hAnsi="仿宋" w:eastAsia="仿宋" w:cs="仿宋"/>
                <w:b w:val="0"/>
                <w:color w:val="auto"/>
                <w:kern w:val="0"/>
                <w:sz w:val="28"/>
                <w:szCs w:val="28"/>
                <w:highlight w:val="none"/>
                <w:lang w:val="en-US" w:eastAsia="zh-CN" w:bidi="ar-SA"/>
              </w:rPr>
            </w:pPr>
            <w:bookmarkStart w:id="194" w:name="_Toc1456"/>
            <w:bookmarkEnd w:id="194"/>
            <w:r>
              <w:rPr>
                <w:rFonts w:hint="eastAsia" w:ascii="仿宋" w:hAnsi="仿宋" w:eastAsia="仿宋" w:cs="仿宋"/>
                <w:b w:val="0"/>
                <w:color w:val="auto"/>
                <w:sz w:val="28"/>
                <w:szCs w:val="28"/>
                <w:highlight w:val="none"/>
              </w:rPr>
              <w:t>供应商提出问题的方式</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B41D7">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sz w:val="28"/>
                <w:szCs w:val="28"/>
                <w:highlight w:val="none"/>
                <w:lang w:eastAsia="zh-CN"/>
              </w:rPr>
              <w:t>以书面资料形式或</w:t>
            </w:r>
            <w:r>
              <w:rPr>
                <w:rFonts w:hint="eastAsia" w:ascii="仿宋" w:hAnsi="仿宋" w:eastAsia="仿宋" w:cs="仿宋"/>
                <w:b w:val="0"/>
                <w:color w:val="auto"/>
                <w:sz w:val="28"/>
                <w:szCs w:val="28"/>
                <w:highlight w:val="none"/>
                <w:lang w:val="en-US" w:eastAsia="zh-CN"/>
              </w:rPr>
              <w:t>电子</w:t>
            </w:r>
            <w:r>
              <w:rPr>
                <w:rFonts w:hint="eastAsia" w:ascii="仿宋" w:hAnsi="仿宋" w:eastAsia="仿宋" w:cs="仿宋"/>
                <w:b w:val="0"/>
                <w:color w:val="auto"/>
                <w:sz w:val="28"/>
                <w:szCs w:val="28"/>
                <w:highlight w:val="none"/>
                <w:lang w:eastAsia="zh-CN"/>
              </w:rPr>
              <w:t>邮箱形式提交至</w:t>
            </w:r>
            <w:r>
              <w:rPr>
                <w:rFonts w:hint="eastAsia" w:ascii="仿宋" w:hAnsi="仿宋" w:eastAsia="仿宋" w:cs="仿宋"/>
                <w:b w:val="0"/>
                <w:color w:val="auto"/>
                <w:sz w:val="28"/>
                <w:szCs w:val="28"/>
                <w:highlight w:val="none"/>
              </w:rPr>
              <w:t>采购人</w:t>
            </w:r>
            <w:r>
              <w:rPr>
                <w:rFonts w:hint="eastAsia" w:ascii="仿宋" w:hAnsi="仿宋" w:eastAsia="仿宋" w:cs="仿宋"/>
                <w:b w:val="0"/>
                <w:color w:val="auto"/>
                <w:sz w:val="28"/>
                <w:szCs w:val="28"/>
                <w:highlight w:val="none"/>
                <w:lang w:val="en-US" w:eastAsia="zh-CN"/>
              </w:rPr>
              <w:t>或</w:t>
            </w:r>
            <w:r>
              <w:rPr>
                <w:rFonts w:hint="eastAsia" w:ascii="仿宋" w:hAnsi="仿宋" w:eastAsia="仿宋" w:cs="仿宋"/>
                <w:b w:val="0"/>
                <w:color w:val="auto"/>
                <w:sz w:val="28"/>
                <w:szCs w:val="28"/>
                <w:highlight w:val="none"/>
              </w:rPr>
              <w:t>采购代理机构</w:t>
            </w:r>
          </w:p>
        </w:tc>
      </w:tr>
      <w:tr w14:paraId="5B1B98E1">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auto" w:sz="4" w:space="0"/>
              <w:right w:val="single" w:color="000000" w:sz="4" w:space="0"/>
            </w:tcBorders>
            <w:vAlign w:val="center"/>
          </w:tcPr>
          <w:p w14:paraId="41AA1C56">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195" w:name="_Toc143443500"/>
            <w:bookmarkStart w:id="196" w:name="_Toc144907465"/>
            <w:bookmarkStart w:id="197" w:name="_Toc144907100"/>
            <w:r>
              <w:rPr>
                <w:rFonts w:hint="eastAsia" w:ascii="仿宋" w:hAnsi="仿宋" w:eastAsia="仿宋" w:cs="仿宋"/>
                <w:color w:val="auto"/>
                <w:kern w:val="0"/>
                <w:sz w:val="28"/>
                <w:szCs w:val="28"/>
                <w:highlight w:val="none"/>
              </w:rPr>
              <w:t>17</w:t>
            </w:r>
            <w:bookmarkEnd w:id="195"/>
            <w:bookmarkEnd w:id="196"/>
            <w:bookmarkEnd w:id="197"/>
          </w:p>
        </w:tc>
        <w:tc>
          <w:tcPr>
            <w:tcW w:w="2091" w:type="dxa"/>
            <w:tcBorders>
              <w:top w:val="single" w:color="000000" w:sz="4" w:space="0"/>
              <w:left w:val="single" w:color="000000" w:sz="4" w:space="0"/>
              <w:bottom w:val="single" w:color="auto" w:sz="4" w:space="0"/>
              <w:right w:val="single" w:color="000000" w:sz="4" w:space="0"/>
            </w:tcBorders>
            <w:shd w:val="clear" w:color="auto" w:fill="auto"/>
            <w:vAlign w:val="center"/>
          </w:tcPr>
          <w:p w14:paraId="0922A754">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bookmarkStart w:id="198" w:name="_Toc27540"/>
            <w:bookmarkEnd w:id="198"/>
            <w:r>
              <w:rPr>
                <w:rFonts w:hint="eastAsia" w:ascii="仿宋" w:hAnsi="仿宋" w:eastAsia="仿宋" w:cs="仿宋"/>
                <w:b w:val="0"/>
                <w:color w:val="auto"/>
                <w:sz w:val="28"/>
                <w:szCs w:val="28"/>
                <w:highlight w:val="none"/>
              </w:rPr>
              <w:t>资格审查方式</w:t>
            </w:r>
          </w:p>
        </w:tc>
        <w:tc>
          <w:tcPr>
            <w:tcW w:w="6827" w:type="dxa"/>
            <w:tcBorders>
              <w:top w:val="single" w:color="000000" w:sz="4" w:space="0"/>
              <w:left w:val="single" w:color="000000" w:sz="4" w:space="0"/>
              <w:bottom w:val="single" w:color="auto" w:sz="4" w:space="0"/>
              <w:right w:val="single" w:color="000000" w:sz="4" w:space="0"/>
            </w:tcBorders>
            <w:shd w:val="clear" w:color="auto" w:fill="auto"/>
            <w:vAlign w:val="center"/>
          </w:tcPr>
          <w:p w14:paraId="5AF628B0">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rPr>
                <w:rFonts w:hint="eastAsia" w:ascii="仿宋" w:hAnsi="仿宋" w:eastAsia="仿宋" w:cs="仿宋"/>
                <w:b w:val="0"/>
                <w:color w:val="auto"/>
                <w:kern w:val="2"/>
                <w:sz w:val="28"/>
                <w:szCs w:val="28"/>
                <w:highlight w:val="none"/>
                <w:lang w:val="en-US" w:eastAsia="zh-CN" w:bidi="ar-SA"/>
              </w:rPr>
            </w:pPr>
            <w:bookmarkStart w:id="199" w:name="_Toc25191"/>
            <w:bookmarkEnd w:id="199"/>
            <w:r>
              <w:rPr>
                <w:rFonts w:hint="eastAsia" w:ascii="仿宋" w:hAnsi="仿宋" w:eastAsia="仿宋" w:cs="仿宋"/>
                <w:b w:val="0"/>
                <w:color w:val="auto"/>
                <w:sz w:val="28"/>
                <w:szCs w:val="28"/>
                <w:highlight w:val="none"/>
              </w:rPr>
              <w:t>资格后审</w:t>
            </w:r>
          </w:p>
        </w:tc>
      </w:tr>
      <w:tr w14:paraId="22F4031B">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auto" w:sz="4" w:space="0"/>
              <w:right w:val="single" w:color="000000" w:sz="4" w:space="0"/>
            </w:tcBorders>
            <w:vAlign w:val="center"/>
          </w:tcPr>
          <w:p w14:paraId="77971CD1">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200" w:name="_Toc144907103"/>
            <w:bookmarkStart w:id="201" w:name="_Toc143443503"/>
            <w:bookmarkStart w:id="202" w:name="_Toc144907468"/>
            <w:r>
              <w:rPr>
                <w:rFonts w:hint="eastAsia" w:ascii="仿宋" w:hAnsi="仿宋" w:eastAsia="仿宋" w:cs="仿宋"/>
                <w:color w:val="auto"/>
                <w:kern w:val="0"/>
                <w:sz w:val="28"/>
                <w:szCs w:val="28"/>
                <w:highlight w:val="none"/>
              </w:rPr>
              <w:t>18</w:t>
            </w:r>
            <w:bookmarkEnd w:id="200"/>
            <w:bookmarkEnd w:id="201"/>
            <w:bookmarkEnd w:id="202"/>
          </w:p>
        </w:tc>
        <w:tc>
          <w:tcPr>
            <w:tcW w:w="2091" w:type="dxa"/>
            <w:tcBorders>
              <w:top w:val="single" w:color="000000" w:sz="4" w:space="0"/>
              <w:left w:val="single" w:color="000000" w:sz="4" w:space="0"/>
              <w:bottom w:val="single" w:color="auto" w:sz="4" w:space="0"/>
              <w:right w:val="single" w:color="000000" w:sz="4" w:space="0"/>
            </w:tcBorders>
            <w:shd w:val="clear" w:color="auto" w:fill="auto"/>
            <w:vAlign w:val="center"/>
          </w:tcPr>
          <w:p w14:paraId="0D6E92BD">
            <w:pPr>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z w:val="28"/>
                <w:szCs w:val="28"/>
                <w:highlight w:val="none"/>
              </w:rPr>
              <w:t>投诉质疑和形式</w:t>
            </w:r>
          </w:p>
        </w:tc>
        <w:tc>
          <w:tcPr>
            <w:tcW w:w="6827" w:type="dxa"/>
            <w:tcBorders>
              <w:top w:val="single" w:color="000000" w:sz="4" w:space="0"/>
              <w:left w:val="single" w:color="000000" w:sz="4" w:space="0"/>
              <w:bottom w:val="single" w:color="auto" w:sz="4" w:space="0"/>
              <w:right w:val="single" w:color="000000" w:sz="4" w:space="0"/>
            </w:tcBorders>
            <w:shd w:val="clear" w:color="auto" w:fill="auto"/>
            <w:vAlign w:val="top"/>
          </w:tcPr>
          <w:p w14:paraId="20F0AEE9">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响应供应商如对招投标事项有异议，应按国家相关法律规定以及淮南市公共资源交易监督管理局相关规定要求先向采购人或采购代理机构提出。</w:t>
            </w:r>
          </w:p>
          <w:p w14:paraId="076E0ED1">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质疑函（异议）符合《淮南市公共资源交易质疑处理暂行办法》（淮公管〔2016〕40号）文件规定。符合“谁质疑，谁举证”原则，事实清楚，主张明确，须提供确凿有力的证明材料或证据线索。不符合上述规定的不予受理。政府采购项目质疑投诉按照财政部94号令《政府采购质疑和投诉办法》规定程序办理；工程建设项目投诉按照《工程建设项目招标投标活动投诉处理办法》规定程序办理。</w:t>
            </w:r>
          </w:p>
          <w:p w14:paraId="7297649C">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投标人（供应商）有异议（质疑）的可选择通过</w:t>
            </w:r>
            <w:r>
              <w:rPr>
                <w:rFonts w:hint="eastAsia" w:ascii="仿宋" w:hAnsi="仿宋" w:eastAsia="仿宋" w:cs="仿宋"/>
                <w:color w:val="auto"/>
                <w:sz w:val="28"/>
                <w:szCs w:val="28"/>
                <w:highlight w:val="none"/>
                <w:lang w:eastAsia="zh-CN"/>
              </w:rPr>
              <w:t>盖章的书面形式</w:t>
            </w:r>
            <w:r>
              <w:rPr>
                <w:rFonts w:hint="eastAsia" w:ascii="仿宋" w:hAnsi="仿宋" w:eastAsia="仿宋" w:cs="仿宋"/>
                <w:color w:val="auto"/>
                <w:sz w:val="28"/>
                <w:szCs w:val="28"/>
                <w:highlight w:val="none"/>
              </w:rPr>
              <w:t>依法提出，</w:t>
            </w:r>
            <w:r>
              <w:rPr>
                <w:rFonts w:hint="eastAsia" w:ascii="仿宋" w:hAnsi="仿宋" w:eastAsia="仿宋" w:cs="仿宋"/>
                <w:color w:val="auto"/>
                <w:sz w:val="28"/>
                <w:szCs w:val="28"/>
                <w:highlight w:val="none"/>
                <w:lang w:eastAsia="zh-CN"/>
              </w:rPr>
              <w:t>采购</w:t>
            </w:r>
            <w:r>
              <w:rPr>
                <w:rFonts w:hint="eastAsia" w:ascii="仿宋" w:hAnsi="仿宋" w:eastAsia="仿宋" w:cs="仿宋"/>
                <w:color w:val="auto"/>
                <w:sz w:val="28"/>
                <w:szCs w:val="28"/>
                <w:highlight w:val="none"/>
              </w:rPr>
              <w:t>人、</w:t>
            </w:r>
            <w:r>
              <w:rPr>
                <w:rFonts w:hint="eastAsia" w:ascii="仿宋" w:hAnsi="仿宋" w:eastAsia="仿宋" w:cs="仿宋"/>
                <w:color w:val="auto"/>
                <w:sz w:val="28"/>
                <w:szCs w:val="28"/>
                <w:highlight w:val="none"/>
                <w:lang w:eastAsia="zh-CN"/>
              </w:rPr>
              <w:t>采购</w:t>
            </w:r>
            <w:r>
              <w:rPr>
                <w:rFonts w:hint="eastAsia" w:ascii="仿宋" w:hAnsi="仿宋" w:eastAsia="仿宋" w:cs="仿宋"/>
                <w:color w:val="auto"/>
                <w:sz w:val="28"/>
                <w:szCs w:val="28"/>
                <w:highlight w:val="none"/>
              </w:rPr>
              <w:t>代理机构依法作出答复。对异议（质疑）不满意的投标人（供应商）可依法向监管部门提交投诉，监管部门可依法受理投诉并作出投诉处理决定。</w:t>
            </w:r>
          </w:p>
          <w:p w14:paraId="5E691C81">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z w:val="28"/>
                <w:szCs w:val="28"/>
                <w:highlight w:val="none"/>
              </w:rPr>
              <w:t>禁止虚假恶意投诉，对虚假恶意投诉的，视情节予以处罚。如无效投诉的给予记不良记录。</w:t>
            </w:r>
          </w:p>
        </w:tc>
      </w:tr>
      <w:tr w14:paraId="1280DEBF">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auto" w:sz="4" w:space="0"/>
              <w:right w:val="single" w:color="000000" w:sz="4" w:space="0"/>
            </w:tcBorders>
            <w:vAlign w:val="center"/>
          </w:tcPr>
          <w:p w14:paraId="0C657208">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203" w:name="_Toc143443506"/>
            <w:bookmarkStart w:id="204" w:name="_Toc144907106"/>
            <w:bookmarkStart w:id="205" w:name="_Toc144907471"/>
            <w:r>
              <w:rPr>
                <w:rFonts w:hint="eastAsia" w:ascii="仿宋" w:hAnsi="仿宋" w:eastAsia="仿宋" w:cs="仿宋"/>
                <w:color w:val="auto"/>
                <w:kern w:val="0"/>
                <w:sz w:val="28"/>
                <w:szCs w:val="28"/>
                <w:highlight w:val="none"/>
              </w:rPr>
              <w:t>19</w:t>
            </w:r>
            <w:bookmarkEnd w:id="203"/>
            <w:bookmarkEnd w:id="204"/>
            <w:bookmarkEnd w:id="205"/>
          </w:p>
        </w:tc>
        <w:tc>
          <w:tcPr>
            <w:tcW w:w="2091" w:type="dxa"/>
            <w:tcBorders>
              <w:top w:val="single" w:color="000000" w:sz="4" w:space="0"/>
              <w:left w:val="single" w:color="000000" w:sz="4" w:space="0"/>
              <w:bottom w:val="single" w:color="auto" w:sz="4" w:space="0"/>
              <w:right w:val="single" w:color="000000" w:sz="4" w:space="0"/>
            </w:tcBorders>
            <w:shd w:val="clear" w:color="auto" w:fill="auto"/>
            <w:vAlign w:val="center"/>
          </w:tcPr>
          <w:p w14:paraId="108A5F3A">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sz w:val="28"/>
                <w:szCs w:val="28"/>
                <w:highlight w:val="none"/>
              </w:rPr>
              <w:t>疑问的答疑获取</w:t>
            </w:r>
          </w:p>
        </w:tc>
        <w:tc>
          <w:tcPr>
            <w:tcW w:w="6827" w:type="dxa"/>
            <w:tcBorders>
              <w:top w:val="single" w:color="000000" w:sz="4" w:space="0"/>
              <w:left w:val="single" w:color="000000" w:sz="4" w:space="0"/>
              <w:bottom w:val="single" w:color="auto" w:sz="4" w:space="0"/>
              <w:right w:val="single" w:color="000000" w:sz="4" w:space="0"/>
            </w:tcBorders>
            <w:shd w:val="clear" w:color="auto" w:fill="auto"/>
            <w:vAlign w:val="center"/>
          </w:tcPr>
          <w:p w14:paraId="65B14341">
            <w:pPr>
              <w:keepNext w:val="0"/>
              <w:keepLines w:val="0"/>
              <w:pageBreakBefore w:val="0"/>
              <w:widowControl w:val="0"/>
              <w:kinsoku/>
              <w:wordWrap w:val="0"/>
              <w:overflowPunct/>
              <w:topLinePunct w:val="0"/>
              <w:autoSpaceDE/>
              <w:autoSpaceDN/>
              <w:bidi w:val="0"/>
              <w:adjustRightInd/>
              <w:snapToGrid/>
              <w:spacing w:line="460" w:lineRule="exact"/>
              <w:ind w:left="0" w:leftChars="0" w:right="0" w:rightChars="0"/>
              <w:jc w:val="left"/>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rPr>
              <w:t>采购</w:t>
            </w:r>
            <w:r>
              <w:rPr>
                <w:rFonts w:hint="eastAsia" w:ascii="仿宋" w:hAnsi="仿宋" w:eastAsia="仿宋" w:cs="仿宋"/>
                <w:b w:val="0"/>
                <w:bCs/>
                <w:color w:val="auto"/>
                <w:kern w:val="0"/>
                <w:sz w:val="28"/>
                <w:szCs w:val="28"/>
                <w:highlight w:val="none"/>
                <w:lang w:val="en-US" w:eastAsia="zh-CN"/>
              </w:rPr>
              <w:t>人或采购</w:t>
            </w:r>
            <w:r>
              <w:rPr>
                <w:rFonts w:hint="eastAsia" w:ascii="仿宋" w:hAnsi="仿宋" w:eastAsia="仿宋" w:cs="仿宋"/>
                <w:b w:val="0"/>
                <w:bCs/>
                <w:color w:val="auto"/>
                <w:kern w:val="0"/>
                <w:sz w:val="28"/>
                <w:szCs w:val="28"/>
                <w:highlight w:val="none"/>
              </w:rPr>
              <w:t>代理机构对采购文件进行的澄清、更正或更改，将</w:t>
            </w:r>
            <w:r>
              <w:rPr>
                <w:rFonts w:hint="eastAsia" w:ascii="仿宋" w:hAnsi="仿宋" w:eastAsia="仿宋" w:cs="仿宋"/>
                <w:b w:val="0"/>
                <w:bCs/>
                <w:color w:val="auto"/>
                <w:kern w:val="0"/>
                <w:sz w:val="28"/>
                <w:szCs w:val="28"/>
                <w:highlight w:val="none"/>
                <w:lang w:val="en-US" w:eastAsia="zh-CN"/>
              </w:rPr>
              <w:t>通过邮箱方式</w:t>
            </w:r>
            <w:r>
              <w:rPr>
                <w:rFonts w:hint="eastAsia" w:ascii="仿宋" w:hAnsi="仿宋" w:eastAsia="仿宋" w:cs="仿宋"/>
                <w:b w:val="0"/>
                <w:bCs/>
                <w:color w:val="auto"/>
                <w:kern w:val="0"/>
                <w:sz w:val="28"/>
                <w:szCs w:val="28"/>
                <w:highlight w:val="none"/>
              </w:rPr>
              <w:t>发</w:t>
            </w:r>
            <w:r>
              <w:rPr>
                <w:rFonts w:hint="eastAsia" w:ascii="仿宋" w:hAnsi="仿宋" w:eastAsia="仿宋" w:cs="仿宋"/>
                <w:b w:val="0"/>
                <w:bCs/>
                <w:color w:val="auto"/>
                <w:kern w:val="0"/>
                <w:sz w:val="28"/>
                <w:szCs w:val="28"/>
                <w:highlight w:val="none"/>
                <w:lang w:val="en-US" w:eastAsia="zh-CN"/>
              </w:rPr>
              <w:t>送给各潜在供应商</w:t>
            </w:r>
            <w:r>
              <w:rPr>
                <w:rFonts w:hint="eastAsia" w:ascii="仿宋" w:hAnsi="仿宋" w:eastAsia="仿宋" w:cs="仿宋"/>
                <w:b w:val="0"/>
                <w:bCs/>
                <w:color w:val="auto"/>
                <w:kern w:val="0"/>
                <w:sz w:val="28"/>
                <w:szCs w:val="28"/>
                <w:highlight w:val="none"/>
              </w:rPr>
              <w:t>，</w:t>
            </w:r>
            <w:r>
              <w:rPr>
                <w:rFonts w:hint="eastAsia" w:ascii="仿宋" w:hAnsi="仿宋" w:eastAsia="仿宋" w:cs="仿宋"/>
                <w:b w:val="0"/>
                <w:bCs/>
                <w:color w:val="auto"/>
                <w:kern w:val="0"/>
                <w:sz w:val="28"/>
                <w:szCs w:val="28"/>
                <w:highlight w:val="none"/>
                <w:lang w:val="en-US" w:eastAsia="zh-CN"/>
              </w:rPr>
              <w:t>该澄清</w:t>
            </w:r>
            <w:r>
              <w:rPr>
                <w:rFonts w:hint="eastAsia" w:ascii="仿宋" w:hAnsi="仿宋" w:eastAsia="仿宋" w:cs="仿宋"/>
                <w:b w:val="0"/>
                <w:bCs/>
                <w:color w:val="auto"/>
                <w:kern w:val="0"/>
                <w:sz w:val="28"/>
                <w:szCs w:val="28"/>
                <w:highlight w:val="none"/>
              </w:rPr>
              <w:t>内容为采购文件的组成部分，对供应商具有同样约束效力。</w:t>
            </w:r>
          </w:p>
        </w:tc>
      </w:tr>
      <w:tr w14:paraId="3F8565BF">
        <w:tblPrEx>
          <w:tblCellMar>
            <w:top w:w="0" w:type="dxa"/>
            <w:left w:w="0" w:type="dxa"/>
            <w:bottom w:w="0" w:type="dxa"/>
            <w:right w:w="0" w:type="dxa"/>
          </w:tblCellMar>
        </w:tblPrEx>
        <w:trPr>
          <w:trHeight w:val="383" w:hRule="atLeast"/>
          <w:jc w:val="center"/>
        </w:trPr>
        <w:tc>
          <w:tcPr>
            <w:tcW w:w="652" w:type="dxa"/>
            <w:tcBorders>
              <w:top w:val="single" w:color="auto" w:sz="4" w:space="0"/>
              <w:left w:val="single" w:color="auto" w:sz="4" w:space="0"/>
              <w:bottom w:val="single" w:color="auto" w:sz="4" w:space="0"/>
              <w:right w:val="single" w:color="000000" w:sz="4" w:space="0"/>
            </w:tcBorders>
            <w:vAlign w:val="center"/>
          </w:tcPr>
          <w:p w14:paraId="511D90B2">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206" w:name="_Toc143443507"/>
            <w:bookmarkStart w:id="207" w:name="_Toc144907472"/>
            <w:bookmarkStart w:id="208" w:name="_Toc144907107"/>
            <w:r>
              <w:rPr>
                <w:rFonts w:hint="eastAsia" w:ascii="仿宋" w:hAnsi="仿宋" w:eastAsia="仿宋" w:cs="仿宋"/>
                <w:color w:val="auto"/>
                <w:kern w:val="0"/>
                <w:sz w:val="28"/>
                <w:szCs w:val="28"/>
                <w:highlight w:val="none"/>
              </w:rPr>
              <w:t>20</w:t>
            </w:r>
            <w:bookmarkEnd w:id="206"/>
            <w:bookmarkEnd w:id="207"/>
            <w:bookmarkEnd w:id="208"/>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6D501435">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bookmarkStart w:id="209" w:name="_Toc25746"/>
            <w:bookmarkEnd w:id="209"/>
            <w:r>
              <w:rPr>
                <w:rFonts w:hint="eastAsia" w:ascii="仿宋" w:hAnsi="仿宋" w:eastAsia="仿宋" w:cs="仿宋"/>
                <w:b w:val="0"/>
                <w:color w:val="auto"/>
                <w:sz w:val="28"/>
                <w:szCs w:val="28"/>
                <w:highlight w:val="none"/>
              </w:rPr>
              <w:t>构成磋商文件的其他内容材料</w:t>
            </w:r>
          </w:p>
        </w:tc>
        <w:tc>
          <w:tcPr>
            <w:tcW w:w="6827" w:type="dxa"/>
            <w:tcBorders>
              <w:top w:val="single" w:color="auto" w:sz="4" w:space="0"/>
              <w:left w:val="single" w:color="000000" w:sz="4" w:space="0"/>
              <w:bottom w:val="single" w:color="auto" w:sz="4" w:space="0"/>
              <w:right w:val="single" w:color="auto" w:sz="4" w:space="0"/>
            </w:tcBorders>
            <w:shd w:val="clear" w:color="auto" w:fill="auto"/>
            <w:vAlign w:val="center"/>
          </w:tcPr>
          <w:p w14:paraId="24343BDF">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rPr>
                <w:rFonts w:hint="eastAsia" w:ascii="仿宋" w:hAnsi="仿宋" w:eastAsia="仿宋" w:cs="仿宋"/>
                <w:b w:val="0"/>
                <w:color w:val="auto"/>
                <w:kern w:val="0"/>
                <w:sz w:val="28"/>
                <w:szCs w:val="28"/>
                <w:highlight w:val="none"/>
                <w:lang w:val="en-US" w:eastAsia="zh-CN" w:bidi="ar-SA"/>
              </w:rPr>
            </w:pPr>
            <w:bookmarkStart w:id="210" w:name="_Toc12358"/>
            <w:bookmarkEnd w:id="210"/>
            <w:r>
              <w:rPr>
                <w:rFonts w:hint="eastAsia" w:ascii="仿宋" w:hAnsi="仿宋" w:eastAsia="仿宋" w:cs="仿宋"/>
                <w:b w:val="0"/>
                <w:color w:val="auto"/>
                <w:sz w:val="28"/>
                <w:szCs w:val="28"/>
                <w:highlight w:val="none"/>
              </w:rPr>
              <w:t>采购需求、澄清文件、答疑文件</w:t>
            </w:r>
          </w:p>
        </w:tc>
      </w:tr>
      <w:tr w14:paraId="2301CAD8">
        <w:tblPrEx>
          <w:tblCellMar>
            <w:top w:w="0" w:type="dxa"/>
            <w:left w:w="0" w:type="dxa"/>
            <w:bottom w:w="0" w:type="dxa"/>
            <w:right w:w="0" w:type="dxa"/>
          </w:tblCellMar>
        </w:tblPrEx>
        <w:trPr>
          <w:trHeight w:val="557" w:hRule="atLeast"/>
          <w:jc w:val="center"/>
        </w:trPr>
        <w:tc>
          <w:tcPr>
            <w:tcW w:w="652" w:type="dxa"/>
            <w:tcBorders>
              <w:top w:val="single" w:color="auto" w:sz="4" w:space="0"/>
              <w:left w:val="single" w:color="auto" w:sz="4" w:space="0"/>
              <w:bottom w:val="single" w:color="auto" w:sz="4" w:space="0"/>
              <w:right w:val="single" w:color="000000" w:sz="4" w:space="0"/>
            </w:tcBorders>
            <w:vAlign w:val="center"/>
          </w:tcPr>
          <w:p w14:paraId="09CCA963">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211" w:name="_Toc144907474"/>
            <w:bookmarkStart w:id="212" w:name="_Toc143443510"/>
            <w:bookmarkStart w:id="213" w:name="_Toc144907109"/>
            <w:r>
              <w:rPr>
                <w:rFonts w:hint="eastAsia" w:ascii="仿宋" w:hAnsi="仿宋" w:eastAsia="仿宋" w:cs="仿宋"/>
                <w:color w:val="auto"/>
                <w:kern w:val="0"/>
                <w:sz w:val="28"/>
                <w:szCs w:val="28"/>
                <w:highlight w:val="none"/>
              </w:rPr>
              <w:t>21</w:t>
            </w:r>
            <w:bookmarkEnd w:id="211"/>
            <w:bookmarkEnd w:id="212"/>
            <w:bookmarkEnd w:id="213"/>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21E8AB3C">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sz w:val="28"/>
                <w:szCs w:val="28"/>
                <w:highlight w:val="none"/>
              </w:rPr>
              <w:t>是否允许递交备选磋商方案</w:t>
            </w:r>
          </w:p>
        </w:tc>
        <w:tc>
          <w:tcPr>
            <w:tcW w:w="6827" w:type="dxa"/>
            <w:tcBorders>
              <w:top w:val="single" w:color="auto" w:sz="4" w:space="0"/>
              <w:left w:val="single" w:color="000000" w:sz="4" w:space="0"/>
              <w:bottom w:val="single" w:color="auto" w:sz="4" w:space="0"/>
              <w:right w:val="single" w:color="auto" w:sz="4" w:space="0"/>
            </w:tcBorders>
            <w:shd w:val="clear" w:color="auto" w:fill="auto"/>
            <w:vAlign w:val="center"/>
          </w:tcPr>
          <w:p w14:paraId="2FFA4789">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sz w:val="28"/>
                <w:szCs w:val="28"/>
                <w:highlight w:val="none"/>
              </w:rPr>
              <w:t>不允许</w:t>
            </w:r>
          </w:p>
        </w:tc>
      </w:tr>
      <w:tr w14:paraId="52DBD4CA">
        <w:tblPrEx>
          <w:tblCellMar>
            <w:top w:w="0" w:type="dxa"/>
            <w:left w:w="0" w:type="dxa"/>
            <w:bottom w:w="0" w:type="dxa"/>
            <w:right w:w="0" w:type="dxa"/>
          </w:tblCellMar>
        </w:tblPrEx>
        <w:trPr>
          <w:jc w:val="center"/>
        </w:trPr>
        <w:tc>
          <w:tcPr>
            <w:tcW w:w="652" w:type="dxa"/>
            <w:tcBorders>
              <w:top w:val="single" w:color="auto" w:sz="4" w:space="0"/>
              <w:left w:val="single" w:color="auto" w:sz="4" w:space="0"/>
              <w:bottom w:val="single" w:color="auto" w:sz="4" w:space="0"/>
              <w:right w:val="single" w:color="000000" w:sz="4" w:space="0"/>
            </w:tcBorders>
            <w:vAlign w:val="center"/>
          </w:tcPr>
          <w:p w14:paraId="4E4BD38F">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214" w:name="_Toc144907112"/>
            <w:bookmarkStart w:id="215" w:name="_Toc143443513"/>
            <w:bookmarkStart w:id="216" w:name="_Toc144907477"/>
            <w:r>
              <w:rPr>
                <w:rFonts w:hint="eastAsia" w:ascii="仿宋" w:hAnsi="仿宋" w:eastAsia="仿宋" w:cs="仿宋"/>
                <w:color w:val="auto"/>
                <w:kern w:val="0"/>
                <w:sz w:val="28"/>
                <w:szCs w:val="28"/>
                <w:highlight w:val="none"/>
              </w:rPr>
              <w:t>22</w:t>
            </w:r>
            <w:bookmarkEnd w:id="214"/>
            <w:bookmarkEnd w:id="215"/>
            <w:bookmarkEnd w:id="216"/>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34693995">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sz w:val="28"/>
                <w:szCs w:val="28"/>
                <w:highlight w:val="none"/>
              </w:rPr>
              <w:t>磋商文件份数</w:t>
            </w:r>
          </w:p>
        </w:tc>
        <w:tc>
          <w:tcPr>
            <w:tcW w:w="6827" w:type="dxa"/>
            <w:tcBorders>
              <w:top w:val="single" w:color="auto" w:sz="4" w:space="0"/>
              <w:left w:val="single" w:color="000000" w:sz="4" w:space="0"/>
              <w:bottom w:val="single" w:color="auto" w:sz="4" w:space="0"/>
              <w:right w:val="single" w:color="auto" w:sz="4" w:space="0"/>
            </w:tcBorders>
            <w:shd w:val="clear" w:color="auto" w:fill="auto"/>
            <w:vAlign w:val="center"/>
          </w:tcPr>
          <w:p w14:paraId="385AAE83">
            <w:pPr>
              <w:pStyle w:val="2"/>
              <w:spacing w:line="420" w:lineRule="exact"/>
              <w:jc w:val="both"/>
              <w:rPr>
                <w:rFonts w:hint="default" w:ascii="仿宋" w:hAnsi="仿宋" w:eastAsia="仿宋" w:cs="仿宋"/>
                <w:b w:val="0"/>
                <w:color w:val="auto"/>
                <w:sz w:val="28"/>
                <w:szCs w:val="28"/>
                <w:highlight w:val="none"/>
                <w:lang w:val="zh-CN"/>
              </w:rPr>
            </w:pPr>
            <w:r>
              <w:rPr>
                <w:rFonts w:hint="default" w:ascii="仿宋" w:hAnsi="仿宋" w:eastAsia="仿宋" w:cs="仿宋"/>
                <w:b w:val="0"/>
                <w:color w:val="auto"/>
                <w:sz w:val="28"/>
                <w:szCs w:val="28"/>
                <w:highlight w:val="none"/>
                <w:lang w:val="zh-CN"/>
              </w:rPr>
              <w:t>投标文件必须胶装，正本一份、副本三份（副本可以是正本的复印件，复印件必须字迹清晰可认）及电子版投标文件（U盘）密封在一个信封袋内。</w:t>
            </w:r>
          </w:p>
          <w:p w14:paraId="296FA138">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rPr>
                <w:rFonts w:hint="eastAsia" w:ascii="仿宋" w:hAnsi="仿宋" w:eastAsia="仿宋" w:cs="仿宋"/>
                <w:b w:val="0"/>
                <w:color w:val="auto"/>
                <w:kern w:val="0"/>
                <w:sz w:val="28"/>
                <w:szCs w:val="28"/>
                <w:highlight w:val="none"/>
                <w:lang w:val="en-US" w:eastAsia="zh-CN" w:bidi="ar-SA"/>
              </w:rPr>
            </w:pPr>
            <w:r>
              <w:rPr>
                <w:rFonts w:hint="default" w:ascii="仿宋" w:hAnsi="仿宋" w:eastAsia="仿宋" w:cs="仿宋"/>
                <w:b w:val="0"/>
                <w:color w:val="auto"/>
                <w:sz w:val="28"/>
                <w:szCs w:val="28"/>
                <w:highlight w:val="none"/>
                <w:lang w:val="zh-CN" w:eastAsia="zh-CN"/>
              </w:rPr>
              <w:t>开标现场提交用信封密封的投标文件，封袋上注明：采购人名称、项目名称及项目编号，供应商名称、供应商地址，并注明“在</w:t>
            </w:r>
            <w:r>
              <w:rPr>
                <w:rFonts w:hint="default" w:ascii="仿宋" w:hAnsi="仿宋" w:eastAsia="仿宋" w:cs="仿宋"/>
                <w:b w:val="0"/>
                <w:color w:val="auto"/>
                <w:sz w:val="28"/>
                <w:szCs w:val="28"/>
                <w:highlight w:val="none"/>
                <w:lang w:val="en-US" w:eastAsia="zh-CN"/>
              </w:rPr>
              <w:t xml:space="preserve"> </w:t>
            </w:r>
            <w:r>
              <w:rPr>
                <w:rFonts w:hint="default" w:ascii="仿宋" w:hAnsi="仿宋" w:eastAsia="仿宋" w:cs="仿宋"/>
                <w:b w:val="0"/>
                <w:color w:val="auto"/>
                <w:sz w:val="28"/>
                <w:szCs w:val="28"/>
                <w:highlight w:val="none"/>
                <w:lang w:val="zh-CN" w:eastAsia="zh-CN"/>
              </w:rPr>
              <w:t>年 月 日 时 分（投标截止时间）之前不得启封”字样。</w:t>
            </w:r>
          </w:p>
        </w:tc>
      </w:tr>
      <w:tr w14:paraId="3CB09952">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700A229C">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217" w:name="_Toc143443516"/>
            <w:bookmarkStart w:id="218" w:name="_Toc144907480"/>
            <w:bookmarkStart w:id="219" w:name="_Toc144907115"/>
            <w:r>
              <w:rPr>
                <w:rFonts w:hint="eastAsia" w:ascii="仿宋" w:hAnsi="仿宋" w:eastAsia="仿宋" w:cs="仿宋"/>
                <w:color w:val="auto"/>
                <w:kern w:val="0"/>
                <w:sz w:val="28"/>
                <w:szCs w:val="28"/>
                <w:highlight w:val="none"/>
              </w:rPr>
              <w:t>23</w:t>
            </w:r>
            <w:bookmarkEnd w:id="217"/>
            <w:bookmarkEnd w:id="218"/>
            <w:bookmarkEnd w:id="219"/>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6A1D">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bookmarkStart w:id="220" w:name="_Toc28517"/>
            <w:bookmarkEnd w:id="220"/>
            <w:bookmarkStart w:id="221" w:name="_Toc29568"/>
            <w:bookmarkEnd w:id="221"/>
            <w:bookmarkStart w:id="222" w:name="_Toc1503"/>
            <w:bookmarkEnd w:id="222"/>
            <w:bookmarkStart w:id="223" w:name="_Toc31907"/>
            <w:bookmarkEnd w:id="223"/>
            <w:r>
              <w:rPr>
                <w:rFonts w:hint="eastAsia" w:ascii="仿宋" w:hAnsi="仿宋" w:eastAsia="仿宋" w:cs="仿宋"/>
                <w:b w:val="0"/>
                <w:color w:val="auto"/>
                <w:sz w:val="28"/>
                <w:szCs w:val="28"/>
                <w:highlight w:val="none"/>
              </w:rPr>
              <w:t>递交磋商响应文件地点</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435EC">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仿宋" w:hAnsi="仿宋" w:eastAsia="仿宋" w:cs="仿宋"/>
                <w:b w:val="0"/>
                <w:color w:val="auto"/>
                <w:kern w:val="0"/>
                <w:sz w:val="28"/>
                <w:szCs w:val="28"/>
                <w:highlight w:val="none"/>
                <w:lang w:val="en-US" w:eastAsia="zh-CN" w:bidi="ar-SA"/>
              </w:rPr>
            </w:pPr>
            <w:bookmarkStart w:id="224" w:name="_Toc23771"/>
            <w:bookmarkEnd w:id="224"/>
            <w:bookmarkStart w:id="225" w:name="_Toc15139"/>
            <w:bookmarkEnd w:id="225"/>
            <w:bookmarkStart w:id="226" w:name="_Toc9052"/>
            <w:bookmarkEnd w:id="226"/>
            <w:bookmarkStart w:id="227" w:name="_Toc12233"/>
            <w:bookmarkEnd w:id="227"/>
            <w:r>
              <w:rPr>
                <w:rFonts w:hint="eastAsia" w:ascii="仿宋" w:hAnsi="仿宋" w:eastAsia="仿宋" w:cs="仿宋"/>
                <w:b w:val="0"/>
                <w:color w:val="auto"/>
                <w:sz w:val="28"/>
                <w:szCs w:val="28"/>
                <w:highlight w:val="none"/>
                <w:lang w:val="en-US" w:eastAsia="zh-CN"/>
              </w:rPr>
              <w:t>详见公告</w:t>
            </w:r>
          </w:p>
        </w:tc>
      </w:tr>
      <w:tr w14:paraId="645AC7A1">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60ACFDF6">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228" w:name="_Toc143443519"/>
            <w:bookmarkStart w:id="229" w:name="_Toc144907483"/>
            <w:bookmarkStart w:id="230" w:name="_Toc144907118"/>
            <w:r>
              <w:rPr>
                <w:rFonts w:hint="eastAsia" w:ascii="仿宋" w:hAnsi="仿宋" w:eastAsia="仿宋" w:cs="仿宋"/>
                <w:color w:val="auto"/>
                <w:kern w:val="0"/>
                <w:sz w:val="28"/>
                <w:szCs w:val="28"/>
                <w:highlight w:val="none"/>
              </w:rPr>
              <w:t>24</w:t>
            </w:r>
            <w:bookmarkEnd w:id="228"/>
            <w:bookmarkEnd w:id="229"/>
            <w:bookmarkEnd w:id="230"/>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5295B">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auto"/>
                <w:kern w:val="0"/>
                <w:sz w:val="28"/>
                <w:szCs w:val="28"/>
                <w:highlight w:val="none"/>
                <w:lang w:val="en-US" w:eastAsia="zh-CN" w:bidi="ar-SA"/>
              </w:rPr>
            </w:pPr>
            <w:bookmarkStart w:id="231" w:name="_Toc19038"/>
            <w:bookmarkEnd w:id="231"/>
            <w:bookmarkStart w:id="232" w:name="_Toc7680"/>
            <w:bookmarkEnd w:id="232"/>
            <w:bookmarkStart w:id="233" w:name="_Toc13674"/>
            <w:bookmarkEnd w:id="233"/>
            <w:bookmarkStart w:id="234" w:name="_Toc9045"/>
            <w:bookmarkEnd w:id="234"/>
            <w:r>
              <w:rPr>
                <w:rFonts w:hint="eastAsia" w:ascii="仿宋" w:hAnsi="仿宋" w:eastAsia="仿宋" w:cs="仿宋"/>
                <w:b w:val="0"/>
                <w:color w:val="auto"/>
                <w:sz w:val="28"/>
                <w:szCs w:val="28"/>
                <w:highlight w:val="none"/>
              </w:rPr>
              <w:t>是否退还磋商响应文件</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40CB">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仿宋" w:hAnsi="仿宋" w:eastAsia="仿宋" w:cs="仿宋"/>
                <w:b w:val="0"/>
                <w:color w:val="auto"/>
                <w:kern w:val="0"/>
                <w:sz w:val="28"/>
                <w:szCs w:val="28"/>
                <w:highlight w:val="none"/>
                <w:lang w:val="en-US" w:eastAsia="zh-CN" w:bidi="ar-SA"/>
              </w:rPr>
            </w:pPr>
            <w:bookmarkStart w:id="235" w:name="_Toc21453"/>
            <w:bookmarkEnd w:id="235"/>
            <w:bookmarkStart w:id="236" w:name="_Toc24394"/>
            <w:bookmarkEnd w:id="236"/>
            <w:bookmarkStart w:id="237" w:name="_Toc31579"/>
            <w:bookmarkEnd w:id="237"/>
            <w:bookmarkStart w:id="238" w:name="_Toc15053"/>
            <w:bookmarkEnd w:id="238"/>
            <w:r>
              <w:rPr>
                <w:rFonts w:hint="eastAsia" w:ascii="仿宋" w:hAnsi="仿宋" w:eastAsia="仿宋" w:cs="仿宋"/>
                <w:b w:val="0"/>
                <w:color w:val="auto"/>
                <w:sz w:val="28"/>
                <w:szCs w:val="28"/>
                <w:highlight w:val="none"/>
              </w:rPr>
              <w:t>否</w:t>
            </w:r>
          </w:p>
        </w:tc>
      </w:tr>
      <w:tr w14:paraId="4DEC1B5C">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20BC2DDF">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239" w:name="_Toc143443522"/>
            <w:bookmarkStart w:id="240" w:name="_Toc144907121"/>
            <w:bookmarkStart w:id="241" w:name="_Toc144907486"/>
            <w:r>
              <w:rPr>
                <w:rFonts w:hint="eastAsia" w:ascii="仿宋" w:hAnsi="仿宋" w:eastAsia="仿宋" w:cs="仿宋"/>
                <w:color w:val="auto"/>
                <w:kern w:val="0"/>
                <w:sz w:val="28"/>
                <w:szCs w:val="28"/>
                <w:highlight w:val="none"/>
              </w:rPr>
              <w:t>25</w:t>
            </w:r>
            <w:bookmarkEnd w:id="239"/>
            <w:bookmarkEnd w:id="240"/>
            <w:bookmarkEnd w:id="241"/>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FD47">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000000" w:themeColor="text1"/>
                <w:kern w:val="0"/>
                <w:sz w:val="28"/>
                <w:szCs w:val="28"/>
                <w:highlight w:val="none"/>
                <w:lang w:val="en-US" w:eastAsia="zh-CN" w:bidi="ar-SA"/>
                <w14:textFill>
                  <w14:solidFill>
                    <w14:schemeClr w14:val="tx1"/>
                  </w14:solidFill>
                </w14:textFill>
              </w:rPr>
            </w:pPr>
            <w:bookmarkStart w:id="242" w:name="_Toc1137"/>
            <w:bookmarkEnd w:id="242"/>
            <w:bookmarkStart w:id="243" w:name="_Toc4220"/>
            <w:bookmarkEnd w:id="243"/>
            <w:bookmarkStart w:id="244" w:name="_Toc7392"/>
            <w:bookmarkEnd w:id="244"/>
            <w:bookmarkStart w:id="245" w:name="_Toc13047"/>
            <w:bookmarkEnd w:id="245"/>
            <w:r>
              <w:rPr>
                <w:rFonts w:hint="eastAsia" w:ascii="仿宋" w:hAnsi="仿宋" w:eastAsia="仿宋" w:cs="仿宋"/>
                <w:b w:val="0"/>
                <w:color w:val="000000" w:themeColor="text1"/>
                <w:sz w:val="28"/>
                <w:szCs w:val="28"/>
                <w:highlight w:val="none"/>
                <w14:textFill>
                  <w14:solidFill>
                    <w14:schemeClr w14:val="tx1"/>
                  </w14:solidFill>
                </w14:textFill>
              </w:rPr>
              <w:t>开标时间和地点</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2085">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rPr>
                <w:rFonts w:hint="eastAsia" w:ascii="仿宋" w:hAnsi="仿宋" w:eastAsia="仿宋" w:cs="仿宋"/>
                <w:b w:val="0"/>
                <w:bCs w:val="0"/>
                <w:color w:val="FF0000"/>
                <w:sz w:val="28"/>
                <w:szCs w:val="28"/>
                <w:highlight w:val="none"/>
              </w:rPr>
            </w:pPr>
            <w:bookmarkStart w:id="246" w:name="_Toc7337"/>
            <w:bookmarkEnd w:id="246"/>
            <w:r>
              <w:rPr>
                <w:rFonts w:hint="eastAsia" w:ascii="仿宋" w:hAnsi="仿宋" w:eastAsia="仿宋" w:cs="仿宋"/>
                <w:b w:val="0"/>
                <w:bCs w:val="0"/>
                <w:color w:val="000000" w:themeColor="text1"/>
                <w:sz w:val="28"/>
                <w:szCs w:val="28"/>
                <w:highlight w:val="none"/>
                <w14:textFill>
                  <w14:solidFill>
                    <w14:schemeClr w14:val="tx1"/>
                  </w14:solidFill>
                </w14:textFill>
              </w:rPr>
              <w:t>开标时间：</w:t>
            </w:r>
            <w:r>
              <w:rPr>
                <w:rFonts w:hint="eastAsia" w:ascii="仿宋" w:hAnsi="仿宋" w:eastAsia="仿宋" w:cs="仿宋"/>
                <w:b w:val="0"/>
                <w:bCs w:val="0"/>
                <w:color w:val="FF0000"/>
                <w:sz w:val="28"/>
                <w:szCs w:val="28"/>
                <w:highlight w:val="none"/>
                <w:lang w:val="en-US" w:eastAsia="zh-CN" w:bidi="ar"/>
              </w:rPr>
              <w:t>2026</w:t>
            </w:r>
            <w:r>
              <w:rPr>
                <w:rFonts w:hint="eastAsia" w:ascii="仿宋" w:hAnsi="仿宋" w:eastAsia="仿宋" w:cs="仿宋"/>
                <w:b w:val="0"/>
                <w:bCs w:val="0"/>
                <w:color w:val="FF0000"/>
                <w:sz w:val="28"/>
                <w:szCs w:val="28"/>
                <w:highlight w:val="none"/>
              </w:rPr>
              <w:t>年</w:t>
            </w:r>
            <w:r>
              <w:rPr>
                <w:rFonts w:hint="eastAsia" w:ascii="仿宋" w:hAnsi="仿宋" w:eastAsia="仿宋" w:cs="仿宋"/>
                <w:b w:val="0"/>
                <w:bCs w:val="0"/>
                <w:color w:val="FF0000"/>
                <w:sz w:val="28"/>
                <w:szCs w:val="28"/>
                <w:highlight w:val="none"/>
                <w:lang w:val="en-US" w:eastAsia="zh-CN"/>
              </w:rPr>
              <w:t>9月28日15点</w:t>
            </w:r>
            <w:r>
              <w:rPr>
                <w:rFonts w:hint="eastAsia" w:ascii="仿宋" w:hAnsi="仿宋" w:eastAsia="仿宋" w:cs="仿宋"/>
                <w:b w:val="0"/>
                <w:bCs w:val="0"/>
                <w:color w:val="FF0000"/>
                <w:sz w:val="28"/>
                <w:szCs w:val="28"/>
                <w:highlight w:val="none"/>
                <w:lang w:val="en-US" w:eastAsia="zh-CN" w:bidi="ar"/>
              </w:rPr>
              <w:t>00</w:t>
            </w:r>
            <w:r>
              <w:rPr>
                <w:rFonts w:hint="eastAsia" w:ascii="仿宋" w:hAnsi="仿宋" w:eastAsia="仿宋" w:cs="仿宋"/>
                <w:b w:val="0"/>
                <w:bCs w:val="0"/>
                <w:color w:val="FF0000"/>
                <w:sz w:val="28"/>
                <w:szCs w:val="28"/>
                <w:highlight w:val="none"/>
              </w:rPr>
              <w:t>分</w:t>
            </w:r>
          </w:p>
          <w:p w14:paraId="7624DC21">
            <w:pPr>
              <w:pStyle w:val="27"/>
              <w:keepNext w:val="0"/>
              <w:keepLines w:val="0"/>
              <w:pageBreakBefore w:val="0"/>
              <w:widowControl w:val="0"/>
              <w:suppressLineNumbers w:val="0"/>
              <w:kinsoku/>
              <w:wordWrap/>
              <w:overflowPunct/>
              <w:topLinePunct w:val="0"/>
              <w:autoSpaceDE/>
              <w:autoSpaceDN/>
              <w:bidi w:val="0"/>
              <w:adjustRightInd/>
              <w:snapToGrid/>
              <w:spacing w:beforeAutospacing="0" w:afterAutospacing="0" w:line="460" w:lineRule="exact"/>
              <w:ind w:left="0" w:leftChars="0" w:right="0" w:rightChars="0"/>
              <w:jc w:val="left"/>
              <w:textAlignment w:val="auto"/>
              <w:rPr>
                <w:rFonts w:hint="eastAsia" w:ascii="仿宋" w:hAnsi="仿宋" w:eastAsia="仿宋" w:cs="仿宋"/>
                <w:color w:val="000000" w:themeColor="text1"/>
                <w:kern w:val="0"/>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开标地点：</w:t>
            </w:r>
            <w:r>
              <w:rPr>
                <w:rFonts w:hint="eastAsia" w:ascii="仿宋" w:hAnsi="仿宋" w:eastAsia="仿宋" w:cs="仿宋"/>
                <w:b w:val="0"/>
                <w:bCs w:val="0"/>
                <w:color w:val="000000" w:themeColor="text1"/>
                <w:sz w:val="28"/>
                <w:szCs w:val="28"/>
                <w:highlight w:val="none"/>
                <w:shd w:val="clear" w:color="auto" w:fill="FFFFFF"/>
                <w:lang w:eastAsia="zh-CN"/>
                <w14:textFill>
                  <w14:solidFill>
                    <w14:schemeClr w14:val="tx1"/>
                  </w14:solidFill>
                </w14:textFill>
              </w:rPr>
              <w:t>安徽省淮南市田家庵区淮河新城五期5号楼17层</w:t>
            </w:r>
          </w:p>
        </w:tc>
      </w:tr>
      <w:tr w14:paraId="342D011D">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508CC763">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247" w:name="_Toc6445"/>
            <w:bookmarkStart w:id="248" w:name="_Toc12648"/>
            <w:bookmarkStart w:id="249" w:name="_Toc144907124"/>
            <w:bookmarkStart w:id="250" w:name="_Toc144907489"/>
            <w:bookmarkStart w:id="251" w:name="_Toc143443525"/>
            <w:r>
              <w:rPr>
                <w:rFonts w:hint="eastAsia" w:ascii="仿宋" w:hAnsi="仿宋" w:eastAsia="仿宋" w:cs="仿宋"/>
                <w:color w:val="auto"/>
                <w:kern w:val="0"/>
                <w:sz w:val="28"/>
                <w:szCs w:val="28"/>
                <w:highlight w:val="none"/>
              </w:rPr>
              <w:t>2</w:t>
            </w:r>
            <w:bookmarkEnd w:id="247"/>
            <w:bookmarkEnd w:id="248"/>
            <w:r>
              <w:rPr>
                <w:rFonts w:hint="eastAsia" w:ascii="仿宋" w:hAnsi="仿宋" w:eastAsia="仿宋" w:cs="仿宋"/>
                <w:color w:val="auto"/>
                <w:kern w:val="0"/>
                <w:sz w:val="28"/>
                <w:szCs w:val="28"/>
                <w:highlight w:val="none"/>
              </w:rPr>
              <w:t>6</w:t>
            </w:r>
            <w:bookmarkEnd w:id="249"/>
            <w:bookmarkEnd w:id="250"/>
            <w:bookmarkEnd w:id="251"/>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3DA6">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000000" w:themeColor="text1"/>
                <w:kern w:val="0"/>
                <w:sz w:val="28"/>
                <w:szCs w:val="28"/>
                <w:highlight w:val="none"/>
                <w:lang w:val="en-US" w:eastAsia="zh-CN" w:bidi="ar-SA"/>
                <w14:textFill>
                  <w14:solidFill>
                    <w14:schemeClr w14:val="tx1"/>
                  </w14:solidFill>
                </w14:textFill>
              </w:rPr>
            </w:pPr>
            <w:bookmarkStart w:id="252" w:name="_Toc1095"/>
            <w:bookmarkEnd w:id="252"/>
            <w:bookmarkStart w:id="253" w:name="_Toc14309"/>
            <w:bookmarkEnd w:id="253"/>
            <w:bookmarkStart w:id="254" w:name="_Toc12120"/>
            <w:bookmarkEnd w:id="254"/>
            <w:bookmarkStart w:id="255" w:name="_Toc28368"/>
            <w:bookmarkEnd w:id="255"/>
            <w:r>
              <w:rPr>
                <w:rFonts w:hint="eastAsia" w:ascii="仿宋" w:hAnsi="仿宋" w:eastAsia="仿宋" w:cs="仿宋"/>
                <w:b w:val="0"/>
                <w:color w:val="000000" w:themeColor="text1"/>
                <w:sz w:val="28"/>
                <w:szCs w:val="28"/>
                <w:highlight w:val="none"/>
                <w14:textFill>
                  <w14:solidFill>
                    <w14:schemeClr w14:val="tx1"/>
                  </w14:solidFill>
                </w14:textFill>
              </w:rPr>
              <w:t>磋商小组的组建</w:t>
            </w:r>
          </w:p>
        </w:tc>
        <w:tc>
          <w:tcPr>
            <w:tcW w:w="6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677A">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bookmarkStart w:id="256" w:name="_Toc5756"/>
            <w:bookmarkEnd w:id="256"/>
            <w:bookmarkStart w:id="257" w:name="_Toc1391"/>
            <w:bookmarkEnd w:id="257"/>
            <w:r>
              <w:rPr>
                <w:rFonts w:hint="eastAsia" w:ascii="仿宋" w:hAnsi="仿宋" w:eastAsia="仿宋" w:cs="仿宋"/>
                <w:color w:val="000000" w:themeColor="text1"/>
                <w:kern w:val="0"/>
                <w:sz w:val="28"/>
                <w:szCs w:val="28"/>
                <w:highlight w:val="none"/>
                <w:lang w:bidi="ar"/>
                <w14:textFill>
                  <w14:solidFill>
                    <w14:schemeClr w14:val="tx1"/>
                  </w14:solidFill>
                </w14:textFill>
              </w:rPr>
              <w:t>磋商小组构成：磋商小组由采购人代表和评审专家组成，3人或以上单数，</w:t>
            </w:r>
            <w:r>
              <w:rPr>
                <w:rFonts w:hint="eastAsia" w:ascii="仿宋" w:hAnsi="仿宋" w:eastAsia="仿宋" w:cs="仿宋"/>
                <w:color w:val="000000" w:themeColor="text1"/>
                <w:kern w:val="0"/>
                <w:sz w:val="28"/>
                <w:szCs w:val="28"/>
                <w:highlight w:val="none"/>
                <w:lang w:val="en-US" w:eastAsia="zh-CN" w:bidi="ar"/>
                <w14:textFill>
                  <w14:solidFill>
                    <w14:schemeClr w14:val="tx1"/>
                  </w14:solidFill>
                </w14:textFill>
              </w:rPr>
              <w:t>采购人代表1人，</w:t>
            </w:r>
            <w:r>
              <w:rPr>
                <w:rFonts w:hint="eastAsia" w:ascii="仿宋" w:hAnsi="仿宋" w:eastAsia="仿宋" w:cs="仿宋"/>
                <w:color w:val="000000" w:themeColor="text1"/>
                <w:kern w:val="0"/>
                <w:sz w:val="28"/>
                <w:szCs w:val="28"/>
                <w:highlight w:val="none"/>
                <w:lang w:bidi="ar"/>
                <w14:textFill>
                  <w14:solidFill>
                    <w14:schemeClr w14:val="tx1"/>
                  </w14:solidFill>
                </w14:textFill>
              </w:rPr>
              <w:t>其中经济、技术等方面的专家不少于成员总数的三分之二。</w:t>
            </w:r>
          </w:p>
          <w:p w14:paraId="18CB6BEB">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rPr>
                <w:rFonts w:hint="eastAsia" w:ascii="仿宋" w:hAnsi="仿宋" w:eastAsia="仿宋" w:cs="仿宋"/>
                <w:b w:val="0"/>
                <w:color w:val="000000" w:themeColor="text1"/>
                <w:kern w:val="0"/>
                <w:sz w:val="28"/>
                <w:szCs w:val="28"/>
                <w:highlight w:val="none"/>
                <w:lang w:val="en-US" w:eastAsia="zh-CN" w:bidi="ar-SA"/>
                <w14:textFill>
                  <w14:solidFill>
                    <w14:schemeClr w14:val="tx1"/>
                  </w14:solidFill>
                </w14:textFill>
              </w:rPr>
            </w:pPr>
            <w:r>
              <w:rPr>
                <w:rFonts w:hint="eastAsia" w:ascii="仿宋" w:hAnsi="仿宋" w:eastAsia="仿宋" w:cs="仿宋"/>
                <w:b w:val="0"/>
                <w:color w:val="000000" w:themeColor="text1"/>
                <w:sz w:val="28"/>
                <w:szCs w:val="28"/>
                <w:highlight w:val="none"/>
                <w14:textFill>
                  <w14:solidFill>
                    <w14:schemeClr w14:val="tx1"/>
                  </w14:solidFill>
                </w14:textFill>
              </w:rPr>
              <w:t>评标专家确定方式：从安徽省综合评标评审专家库中</w:t>
            </w:r>
            <w:r>
              <w:rPr>
                <w:rFonts w:hint="eastAsia" w:ascii="仿宋" w:hAnsi="仿宋" w:eastAsia="仿宋" w:cs="仿宋"/>
                <w:b w:val="0"/>
                <w:color w:val="000000" w:themeColor="text1"/>
                <w:sz w:val="28"/>
                <w:szCs w:val="28"/>
                <w:highlight w:val="none"/>
                <w:lang w:val="en-US" w:eastAsia="zh-CN"/>
                <w14:textFill>
                  <w14:solidFill>
                    <w14:schemeClr w14:val="tx1"/>
                  </w14:solidFill>
                </w14:textFill>
              </w:rPr>
              <w:t>选取</w:t>
            </w:r>
          </w:p>
        </w:tc>
      </w:tr>
      <w:tr w14:paraId="480598B8">
        <w:tblPrEx>
          <w:tblCellMar>
            <w:top w:w="0" w:type="dxa"/>
            <w:left w:w="0" w:type="dxa"/>
            <w:bottom w:w="0" w:type="dxa"/>
            <w:right w:w="0" w:type="dxa"/>
          </w:tblCellMar>
        </w:tblPrEx>
        <w:trPr>
          <w:jc w:val="center"/>
        </w:trPr>
        <w:tc>
          <w:tcPr>
            <w:tcW w:w="652" w:type="dxa"/>
            <w:tcBorders>
              <w:top w:val="single" w:color="000000" w:sz="4" w:space="0"/>
              <w:left w:val="single" w:color="000000" w:sz="4" w:space="0"/>
              <w:bottom w:val="single" w:color="auto" w:sz="4" w:space="0"/>
              <w:right w:val="single" w:color="000000" w:sz="4" w:space="0"/>
            </w:tcBorders>
            <w:vAlign w:val="center"/>
          </w:tcPr>
          <w:p w14:paraId="7B0CF69D">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258" w:name="_Toc4173"/>
            <w:bookmarkStart w:id="259" w:name="_Toc4478"/>
            <w:bookmarkStart w:id="260" w:name="_Toc144907492"/>
            <w:bookmarkStart w:id="261" w:name="_Toc144907127"/>
            <w:bookmarkStart w:id="262" w:name="_Toc143443528"/>
            <w:r>
              <w:rPr>
                <w:rFonts w:hint="eastAsia" w:ascii="仿宋" w:hAnsi="仿宋" w:eastAsia="仿宋" w:cs="仿宋"/>
                <w:color w:val="auto"/>
                <w:kern w:val="0"/>
                <w:sz w:val="28"/>
                <w:szCs w:val="28"/>
                <w:highlight w:val="none"/>
              </w:rPr>
              <w:t>2</w:t>
            </w:r>
            <w:bookmarkEnd w:id="258"/>
            <w:bookmarkEnd w:id="259"/>
            <w:r>
              <w:rPr>
                <w:rFonts w:hint="eastAsia" w:ascii="仿宋" w:hAnsi="仿宋" w:eastAsia="仿宋" w:cs="仿宋"/>
                <w:color w:val="auto"/>
                <w:kern w:val="0"/>
                <w:sz w:val="28"/>
                <w:szCs w:val="28"/>
                <w:highlight w:val="none"/>
              </w:rPr>
              <w:t>7</w:t>
            </w:r>
            <w:bookmarkEnd w:id="260"/>
            <w:bookmarkEnd w:id="261"/>
            <w:bookmarkEnd w:id="262"/>
          </w:p>
        </w:tc>
        <w:tc>
          <w:tcPr>
            <w:tcW w:w="2091" w:type="dxa"/>
            <w:tcBorders>
              <w:top w:val="single" w:color="000000" w:sz="4" w:space="0"/>
              <w:left w:val="single" w:color="000000" w:sz="4" w:space="0"/>
              <w:bottom w:val="single" w:color="auto" w:sz="4" w:space="0"/>
              <w:right w:val="single" w:color="000000" w:sz="4" w:space="0"/>
            </w:tcBorders>
            <w:shd w:val="clear" w:color="auto" w:fill="auto"/>
            <w:vAlign w:val="center"/>
          </w:tcPr>
          <w:p w14:paraId="08A6F2BA">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000000" w:themeColor="text1"/>
                <w:kern w:val="0"/>
                <w:sz w:val="28"/>
                <w:szCs w:val="28"/>
                <w:highlight w:val="none"/>
                <w:lang w:val="en-US" w:eastAsia="zh-CN" w:bidi="ar-SA"/>
                <w14:textFill>
                  <w14:solidFill>
                    <w14:schemeClr w14:val="tx1"/>
                  </w14:solidFill>
                </w14:textFill>
              </w:rPr>
            </w:pPr>
            <w:bookmarkStart w:id="263" w:name="_Toc11242"/>
            <w:bookmarkEnd w:id="263"/>
            <w:bookmarkStart w:id="264" w:name="_Toc26553"/>
            <w:bookmarkEnd w:id="264"/>
            <w:bookmarkStart w:id="265" w:name="_Toc18607"/>
            <w:bookmarkEnd w:id="265"/>
            <w:bookmarkStart w:id="266" w:name="_Toc23536"/>
            <w:bookmarkEnd w:id="266"/>
            <w:r>
              <w:rPr>
                <w:rFonts w:hint="eastAsia" w:ascii="仿宋" w:hAnsi="仿宋" w:eastAsia="仿宋" w:cs="仿宋"/>
                <w:b w:val="0"/>
                <w:color w:val="000000" w:themeColor="text1"/>
                <w:sz w:val="28"/>
                <w:szCs w:val="28"/>
                <w:highlight w:val="none"/>
                <w14:textFill>
                  <w14:solidFill>
                    <w14:schemeClr w14:val="tx1"/>
                  </w14:solidFill>
                </w14:textFill>
              </w:rPr>
              <w:t>确定成交供应商</w:t>
            </w:r>
          </w:p>
        </w:tc>
        <w:tc>
          <w:tcPr>
            <w:tcW w:w="6827" w:type="dxa"/>
            <w:tcBorders>
              <w:top w:val="single" w:color="000000" w:sz="4" w:space="0"/>
              <w:left w:val="single" w:color="000000" w:sz="4" w:space="0"/>
              <w:bottom w:val="single" w:color="auto" w:sz="4" w:space="0"/>
              <w:right w:val="single" w:color="000000" w:sz="4" w:space="0"/>
            </w:tcBorders>
            <w:shd w:val="clear" w:color="auto" w:fill="auto"/>
            <w:vAlign w:val="center"/>
          </w:tcPr>
          <w:p w14:paraId="65A695E8">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rPr>
                <w:rFonts w:hint="eastAsia" w:ascii="仿宋" w:hAnsi="仿宋" w:eastAsia="仿宋" w:cs="仿宋"/>
                <w:b/>
                <w:color w:val="000000" w:themeColor="text1"/>
                <w:kern w:val="0"/>
                <w:sz w:val="28"/>
                <w:szCs w:val="28"/>
                <w:highlight w:val="none"/>
                <w:lang w:val="en-US" w:eastAsia="zh-CN" w:bidi="ar-SA"/>
                <w14:textFill>
                  <w14:solidFill>
                    <w14:schemeClr w14:val="tx1"/>
                  </w14:solidFill>
                </w14:textFill>
              </w:rPr>
            </w:pPr>
            <w:bookmarkStart w:id="267" w:name="_Toc31840"/>
            <w:bookmarkEnd w:id="267"/>
            <w:bookmarkStart w:id="268" w:name="_Toc10402"/>
            <w:bookmarkEnd w:id="268"/>
            <w:bookmarkStart w:id="269" w:name="_Toc1232"/>
            <w:bookmarkEnd w:id="269"/>
            <w:bookmarkStart w:id="270" w:name="_Toc30822"/>
            <w:bookmarkEnd w:id="270"/>
            <w:r>
              <w:rPr>
                <w:rFonts w:hint="eastAsia" w:ascii="仿宋" w:hAnsi="仿宋" w:eastAsia="仿宋" w:cs="仿宋"/>
                <w:b w:val="0"/>
                <w:color w:val="000000" w:themeColor="text1"/>
                <w:sz w:val="28"/>
                <w:szCs w:val="28"/>
                <w:highlight w:val="none"/>
                <w:lang w:eastAsia="zh-CN"/>
                <w14:textFill>
                  <w14:solidFill>
                    <w14:schemeClr w14:val="tx1"/>
                  </w14:solidFill>
                </w14:textFill>
              </w:rPr>
              <w:t>☑</w:t>
            </w:r>
            <w:r>
              <w:rPr>
                <w:rFonts w:hint="eastAsia" w:ascii="仿宋" w:hAnsi="仿宋" w:eastAsia="仿宋" w:cs="仿宋"/>
                <w:b w:val="0"/>
                <w:color w:val="000000" w:themeColor="text1"/>
                <w:sz w:val="28"/>
                <w:szCs w:val="28"/>
                <w:highlight w:val="none"/>
                <w14:textFill>
                  <w14:solidFill>
                    <w14:schemeClr w14:val="tx1"/>
                  </w14:solidFill>
                </w14:textFill>
              </w:rPr>
              <w:t>采购人授权磋商小组确定</w:t>
            </w:r>
          </w:p>
        </w:tc>
      </w:tr>
      <w:tr w14:paraId="293F764D">
        <w:tblPrEx>
          <w:tblCellMar>
            <w:top w:w="0" w:type="dxa"/>
            <w:left w:w="0" w:type="dxa"/>
            <w:bottom w:w="0" w:type="dxa"/>
            <w:right w:w="0" w:type="dxa"/>
          </w:tblCellMar>
        </w:tblPrEx>
        <w:trPr>
          <w:trHeight w:val="830" w:hRule="atLeast"/>
          <w:jc w:val="center"/>
        </w:trPr>
        <w:tc>
          <w:tcPr>
            <w:tcW w:w="652" w:type="dxa"/>
            <w:tcBorders>
              <w:top w:val="single" w:color="auto" w:sz="4" w:space="0"/>
              <w:left w:val="single" w:color="000000" w:sz="4" w:space="0"/>
              <w:bottom w:val="single" w:color="auto" w:sz="4" w:space="0"/>
              <w:right w:val="single" w:color="000000" w:sz="4" w:space="0"/>
            </w:tcBorders>
            <w:vAlign w:val="center"/>
          </w:tcPr>
          <w:p w14:paraId="49ACD6A4">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271" w:name="_Toc144907495"/>
            <w:bookmarkStart w:id="272" w:name="_Toc144907130"/>
            <w:bookmarkStart w:id="273" w:name="_Toc143443531"/>
            <w:r>
              <w:rPr>
                <w:rFonts w:hint="eastAsia" w:ascii="仿宋" w:hAnsi="仿宋" w:eastAsia="仿宋" w:cs="仿宋"/>
                <w:color w:val="auto"/>
                <w:kern w:val="0"/>
                <w:sz w:val="28"/>
                <w:szCs w:val="28"/>
                <w:highlight w:val="none"/>
              </w:rPr>
              <w:t>28</w:t>
            </w:r>
            <w:bookmarkEnd w:id="271"/>
            <w:bookmarkEnd w:id="272"/>
            <w:bookmarkEnd w:id="273"/>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4E9600E1">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color w:val="000000" w:themeColor="text1"/>
                <w:kern w:val="0"/>
                <w:sz w:val="28"/>
                <w:szCs w:val="28"/>
                <w:highlight w:val="none"/>
                <w:lang w:val="en-US" w:eastAsia="zh-CN" w:bidi="ar-SA"/>
                <w14:textFill>
                  <w14:solidFill>
                    <w14:schemeClr w14:val="tx1"/>
                  </w14:solidFill>
                </w14:textFill>
              </w:rPr>
            </w:pPr>
            <w:bookmarkStart w:id="274" w:name="_Toc2446"/>
            <w:bookmarkEnd w:id="274"/>
            <w:bookmarkStart w:id="275" w:name="_Toc10354"/>
            <w:bookmarkEnd w:id="275"/>
            <w:bookmarkStart w:id="276" w:name="_Toc19594"/>
            <w:bookmarkEnd w:id="276"/>
            <w:bookmarkStart w:id="277" w:name="_Toc31226"/>
            <w:bookmarkEnd w:id="277"/>
            <w:r>
              <w:rPr>
                <w:rFonts w:hint="eastAsia" w:ascii="仿宋" w:hAnsi="仿宋" w:eastAsia="仿宋" w:cs="仿宋"/>
                <w:b w:val="0"/>
                <w:color w:val="000000" w:themeColor="text1"/>
                <w:sz w:val="28"/>
                <w:szCs w:val="28"/>
                <w:highlight w:val="none"/>
                <w14:textFill>
                  <w14:solidFill>
                    <w14:schemeClr w14:val="tx1"/>
                  </w14:solidFill>
                </w14:textFill>
              </w:rPr>
              <w:t>最高限价</w:t>
            </w:r>
          </w:p>
        </w:tc>
        <w:tc>
          <w:tcPr>
            <w:tcW w:w="6827" w:type="dxa"/>
            <w:tcBorders>
              <w:top w:val="single" w:color="auto" w:sz="4" w:space="0"/>
              <w:left w:val="single" w:color="000000" w:sz="4" w:space="0"/>
              <w:bottom w:val="single" w:color="auto" w:sz="4" w:space="0"/>
              <w:right w:val="single" w:color="000000" w:sz="4" w:space="0"/>
            </w:tcBorders>
            <w:shd w:val="clear" w:color="auto" w:fill="auto"/>
            <w:vAlign w:val="center"/>
          </w:tcPr>
          <w:p w14:paraId="0333EFE5">
            <w:pPr>
              <w:pStyle w:val="2"/>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rPr>
                <w:rFonts w:hint="default" w:ascii="仿宋" w:hAnsi="仿宋" w:eastAsia="仿宋" w:cs="仿宋"/>
                <w:snapToGrid/>
                <w:color w:val="000000" w:themeColor="text1"/>
                <w:kern w:val="0"/>
                <w:sz w:val="28"/>
                <w:szCs w:val="28"/>
                <w:highlight w:val="none"/>
                <w:lang w:val="en-US" w:eastAsia="zh-CN"/>
                <w14:textFill>
                  <w14:solidFill>
                    <w14:schemeClr w14:val="tx1"/>
                  </w14:solidFill>
                </w14:textFill>
              </w:rPr>
            </w:pPr>
            <w:bookmarkStart w:id="278" w:name="_Toc10596"/>
            <w:bookmarkEnd w:id="278"/>
            <w:bookmarkStart w:id="279" w:name="_Toc30687"/>
            <w:bookmarkEnd w:id="279"/>
            <w:bookmarkStart w:id="280" w:name="_Toc3980"/>
            <w:bookmarkEnd w:id="280"/>
            <w:bookmarkStart w:id="281" w:name="_Toc27324"/>
            <w:bookmarkEnd w:id="281"/>
            <w:r>
              <w:rPr>
                <w:rFonts w:hint="eastAsia" w:ascii="仿宋" w:hAnsi="仿宋" w:eastAsia="仿宋" w:cs="仿宋"/>
                <w:b w:val="0"/>
                <w:bCs/>
                <w:snapToGrid/>
                <w:color w:val="000000" w:themeColor="text1"/>
                <w:kern w:val="0"/>
                <w:sz w:val="28"/>
                <w:szCs w:val="28"/>
                <w:highlight w:val="yellow"/>
                <w:lang w:eastAsia="zh-CN"/>
                <w14:textFill>
                  <w14:solidFill>
                    <w14:schemeClr w14:val="tx1"/>
                  </w14:solidFill>
                </w14:textFill>
              </w:rPr>
              <w:t>15万元，</w:t>
            </w:r>
            <w:r>
              <w:rPr>
                <w:rFonts w:hint="eastAsia" w:ascii="仿宋" w:hAnsi="仿宋" w:eastAsia="仿宋" w:cs="仿宋"/>
                <w:b w:val="0"/>
                <w:bCs/>
                <w:snapToGrid/>
                <w:color w:val="000000" w:themeColor="text1"/>
                <w:kern w:val="0"/>
                <w:sz w:val="28"/>
                <w:szCs w:val="28"/>
                <w:highlight w:val="yellow"/>
                <w:lang w:val="en-US" w:eastAsia="zh-CN"/>
                <w14:textFill>
                  <w14:solidFill>
                    <w14:schemeClr w14:val="tx1"/>
                  </w14:solidFill>
                </w14:textFill>
              </w:rPr>
              <w:t>超过最高限价投标无效</w:t>
            </w:r>
          </w:p>
        </w:tc>
      </w:tr>
      <w:tr w14:paraId="70A26461">
        <w:tblPrEx>
          <w:tblCellMar>
            <w:top w:w="0" w:type="dxa"/>
            <w:left w:w="0" w:type="dxa"/>
            <w:bottom w:w="0" w:type="dxa"/>
            <w:right w:w="0" w:type="dxa"/>
          </w:tblCellMar>
        </w:tblPrEx>
        <w:trPr>
          <w:jc w:val="center"/>
        </w:trPr>
        <w:tc>
          <w:tcPr>
            <w:tcW w:w="652" w:type="dxa"/>
            <w:tcBorders>
              <w:top w:val="single" w:color="auto" w:sz="4" w:space="0"/>
              <w:left w:val="single" w:color="000000" w:sz="4" w:space="0"/>
              <w:bottom w:val="single" w:color="auto" w:sz="4" w:space="0"/>
              <w:right w:val="single" w:color="000000" w:sz="4" w:space="0"/>
            </w:tcBorders>
            <w:vAlign w:val="center"/>
          </w:tcPr>
          <w:p w14:paraId="4B0B3F26">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282" w:name="_Toc144907133"/>
            <w:bookmarkStart w:id="283" w:name="_Toc144907498"/>
            <w:bookmarkStart w:id="284" w:name="_Toc143443534"/>
            <w:r>
              <w:rPr>
                <w:rFonts w:hint="eastAsia" w:ascii="仿宋" w:hAnsi="仿宋" w:eastAsia="仿宋" w:cs="仿宋"/>
                <w:color w:val="auto"/>
                <w:kern w:val="0"/>
                <w:sz w:val="28"/>
                <w:szCs w:val="28"/>
                <w:highlight w:val="none"/>
              </w:rPr>
              <w:t>29</w:t>
            </w:r>
            <w:bookmarkEnd w:id="282"/>
            <w:bookmarkEnd w:id="283"/>
            <w:bookmarkEnd w:id="284"/>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5471E90E">
            <w:pPr>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bCs/>
                <w:color w:val="000000" w:themeColor="text1"/>
                <w:kern w:val="2"/>
                <w:sz w:val="28"/>
                <w:szCs w:val="28"/>
                <w:highlight w:val="none"/>
                <w:lang w:val="en-US" w:eastAsia="zh-CN" w:bidi="ar-SA"/>
                <w14:textFill>
                  <w14:solidFill>
                    <w14:schemeClr w14:val="tx1"/>
                  </w14:solidFill>
                </w14:textFill>
              </w:rPr>
            </w:pPr>
            <w:bookmarkStart w:id="285" w:name="_Toc19129"/>
            <w:bookmarkEnd w:id="285"/>
            <w:bookmarkStart w:id="286" w:name="_Toc24494"/>
            <w:bookmarkEnd w:id="286"/>
            <w:bookmarkStart w:id="287" w:name="_Toc9064"/>
            <w:bookmarkEnd w:id="287"/>
            <w:bookmarkStart w:id="288" w:name="_Toc8744"/>
            <w:bookmarkEnd w:id="288"/>
            <w:r>
              <w:rPr>
                <w:rFonts w:hint="eastAsia" w:ascii="仿宋" w:hAnsi="仿宋" w:eastAsia="仿宋" w:cs="仿宋"/>
                <w:b w:val="0"/>
                <w:bCs w:val="0"/>
                <w:color w:val="000000" w:themeColor="text1"/>
                <w:sz w:val="28"/>
                <w:szCs w:val="28"/>
                <w:highlight w:val="none"/>
                <w14:textFill>
                  <w14:solidFill>
                    <w14:schemeClr w14:val="tx1"/>
                  </w14:solidFill>
                </w14:textFill>
              </w:rPr>
              <w:t>询标</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及二次报价</w:t>
            </w:r>
          </w:p>
        </w:tc>
        <w:tc>
          <w:tcPr>
            <w:tcW w:w="6827" w:type="dxa"/>
            <w:tcBorders>
              <w:top w:val="single" w:color="auto" w:sz="4" w:space="0"/>
              <w:left w:val="single" w:color="000000" w:sz="4" w:space="0"/>
              <w:bottom w:val="single" w:color="auto" w:sz="4" w:space="0"/>
              <w:right w:val="single" w:color="000000" w:sz="4" w:space="0"/>
            </w:tcBorders>
            <w:shd w:val="clear" w:color="auto" w:fill="auto"/>
            <w:vAlign w:val="center"/>
          </w:tcPr>
          <w:p w14:paraId="62378915">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left"/>
              <w:textAlignment w:val="auto"/>
              <w:rPr>
                <w:rFonts w:hint="eastAsia" w:ascii="仿宋" w:hAnsi="仿宋" w:eastAsia="仿宋" w:cs="仿宋"/>
                <w:color w:val="000000" w:themeColor="text1"/>
                <w:kern w:val="2"/>
                <w:sz w:val="28"/>
                <w:szCs w:val="28"/>
                <w:lang w:val="en-US" w:eastAsia="zh-CN" w:bidi="ar-SA"/>
                <w14:textFill>
                  <w14:solidFill>
                    <w14:schemeClr w14:val="tx1"/>
                  </w14:solidFill>
                </w14:textFill>
              </w:rPr>
            </w:pPr>
            <w:bookmarkStart w:id="289" w:name="_Toc23222"/>
            <w:bookmarkEnd w:id="289"/>
            <w:bookmarkStart w:id="290" w:name="_Toc19935"/>
            <w:bookmarkEnd w:id="290"/>
            <w:bookmarkStart w:id="291" w:name="_Toc30301"/>
            <w:bookmarkEnd w:id="291"/>
            <w:bookmarkStart w:id="292" w:name="_Toc15592"/>
            <w:bookmarkEnd w:id="292"/>
            <w:r>
              <w:rPr>
                <w:rFonts w:hint="eastAsia" w:ascii="仿宋" w:hAnsi="仿宋" w:eastAsia="仿宋" w:cs="仿宋"/>
                <w:color w:val="000000" w:themeColor="text1"/>
                <w:kern w:val="2"/>
                <w:sz w:val="28"/>
                <w:szCs w:val="28"/>
                <w:lang w:val="en-US" w:eastAsia="zh-CN" w:bidi="ar-SA"/>
                <w14:textFill>
                  <w14:solidFill>
                    <w14:schemeClr w14:val="tx1"/>
                  </w14:solidFill>
                </w14:textFill>
              </w:rPr>
              <w:t>评标过程中，请授权委托人在评标等候区等候，保持通讯工具畅通。供应商接到询标电话或二轮报价通知后30分钟内到达询标现场并完成询标函回复或二轮报价，否则视为供应商默认竞争性磋商小组评审结果。</w:t>
            </w:r>
          </w:p>
        </w:tc>
      </w:tr>
      <w:tr w14:paraId="36D5CD1A">
        <w:tblPrEx>
          <w:tblCellMar>
            <w:top w:w="0" w:type="dxa"/>
            <w:left w:w="0" w:type="dxa"/>
            <w:bottom w:w="0" w:type="dxa"/>
            <w:right w:w="0" w:type="dxa"/>
          </w:tblCellMar>
        </w:tblPrEx>
        <w:trPr>
          <w:jc w:val="center"/>
        </w:trPr>
        <w:tc>
          <w:tcPr>
            <w:tcW w:w="652" w:type="dxa"/>
            <w:tcBorders>
              <w:top w:val="single" w:color="auto" w:sz="4" w:space="0"/>
              <w:left w:val="single" w:color="000000" w:sz="4" w:space="0"/>
              <w:bottom w:val="single" w:color="auto" w:sz="4" w:space="0"/>
              <w:right w:val="single" w:color="000000" w:sz="4" w:space="0"/>
            </w:tcBorders>
            <w:vAlign w:val="center"/>
          </w:tcPr>
          <w:p w14:paraId="022744EA">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293" w:name="_Toc17454"/>
            <w:bookmarkStart w:id="294" w:name="_Toc15222"/>
            <w:bookmarkStart w:id="295" w:name="_Toc144907136"/>
            <w:bookmarkStart w:id="296" w:name="_Toc144907501"/>
            <w:bookmarkStart w:id="297" w:name="_Toc143443537"/>
            <w:r>
              <w:rPr>
                <w:rFonts w:hint="eastAsia" w:ascii="仿宋" w:hAnsi="仿宋" w:eastAsia="仿宋" w:cs="仿宋"/>
                <w:color w:val="auto"/>
                <w:kern w:val="0"/>
                <w:sz w:val="28"/>
                <w:szCs w:val="28"/>
                <w:highlight w:val="none"/>
              </w:rPr>
              <w:t>3</w:t>
            </w:r>
            <w:bookmarkEnd w:id="293"/>
            <w:bookmarkEnd w:id="294"/>
            <w:r>
              <w:rPr>
                <w:rFonts w:hint="eastAsia" w:ascii="仿宋" w:hAnsi="仿宋" w:eastAsia="仿宋" w:cs="仿宋"/>
                <w:color w:val="auto"/>
                <w:kern w:val="0"/>
                <w:sz w:val="28"/>
                <w:szCs w:val="28"/>
                <w:highlight w:val="none"/>
              </w:rPr>
              <w:t>0</w:t>
            </w:r>
            <w:bookmarkEnd w:id="295"/>
            <w:bookmarkEnd w:id="296"/>
            <w:bookmarkEnd w:id="297"/>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2EF6E4E5">
            <w:pPr>
              <w:keepNext w:val="0"/>
              <w:keepLines w:val="0"/>
              <w:pageBreakBefore w:val="0"/>
              <w:kinsoku/>
              <w:wordWrap/>
              <w:overflowPunct/>
              <w:topLinePunct w:val="0"/>
              <w:autoSpaceDE/>
              <w:autoSpaceDN/>
              <w:bidi w:val="0"/>
              <w:adjustRightInd/>
              <w:snapToGrid/>
              <w:spacing w:line="460" w:lineRule="exact"/>
              <w:ind w:left="0" w:leftChars="0" w:firstLine="560" w:firstLineChars="200"/>
              <w:jc w:val="left"/>
              <w:textAlignment w:val="auto"/>
              <w:rPr>
                <w:rFonts w:hint="eastAsia" w:ascii="仿宋" w:hAnsi="仿宋" w:eastAsia="仿宋" w:cs="仿宋"/>
                <w:color w:val="auto"/>
                <w:kern w:val="2"/>
                <w:sz w:val="28"/>
                <w:szCs w:val="28"/>
                <w:highlight w:val="none"/>
                <w:lang w:val="en-US" w:eastAsia="zh-CN" w:bidi="ar-SA"/>
              </w:rPr>
            </w:pPr>
            <w:bookmarkStart w:id="298" w:name="_Toc29648"/>
            <w:bookmarkEnd w:id="298"/>
            <w:bookmarkStart w:id="299" w:name="_Toc16585"/>
            <w:bookmarkEnd w:id="299"/>
            <w:bookmarkStart w:id="300" w:name="_Toc18200"/>
            <w:bookmarkEnd w:id="300"/>
            <w:bookmarkStart w:id="301" w:name="_Toc2310"/>
            <w:bookmarkEnd w:id="301"/>
            <w:r>
              <w:rPr>
                <w:rFonts w:hint="eastAsia" w:ascii="仿宋" w:hAnsi="仿宋" w:eastAsia="仿宋" w:cs="仿宋"/>
                <w:bCs/>
                <w:color w:val="auto"/>
                <w:kern w:val="0"/>
                <w:sz w:val="28"/>
                <w:szCs w:val="28"/>
                <w:highlight w:val="none"/>
              </w:rPr>
              <w:t>评审原则</w:t>
            </w:r>
          </w:p>
        </w:tc>
        <w:tc>
          <w:tcPr>
            <w:tcW w:w="6827" w:type="dxa"/>
            <w:tcBorders>
              <w:top w:val="single" w:color="auto" w:sz="4" w:space="0"/>
              <w:left w:val="single" w:color="000000" w:sz="4" w:space="0"/>
              <w:bottom w:val="single" w:color="auto" w:sz="4" w:space="0"/>
              <w:right w:val="single" w:color="000000" w:sz="4" w:space="0"/>
            </w:tcBorders>
            <w:shd w:val="clear" w:color="auto" w:fill="auto"/>
            <w:vAlign w:val="center"/>
          </w:tcPr>
          <w:p w14:paraId="2B3C3203">
            <w:pPr>
              <w:pStyle w:val="9"/>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textAlignment w:val="auto"/>
              <w:rPr>
                <w:rFonts w:hint="eastAsia" w:ascii="仿宋" w:hAnsi="仿宋" w:eastAsia="仿宋" w:cs="仿宋"/>
                <w:bCs/>
                <w:color w:val="auto"/>
                <w:kern w:val="0"/>
                <w:sz w:val="28"/>
                <w:szCs w:val="28"/>
                <w:highlight w:val="none"/>
                <w:lang w:val="en-US" w:eastAsia="zh-CN" w:bidi="ar-SA"/>
              </w:rPr>
            </w:pPr>
            <w:bookmarkStart w:id="302" w:name="_Toc4018"/>
            <w:bookmarkEnd w:id="302"/>
            <w:bookmarkStart w:id="303" w:name="_Toc23616"/>
            <w:bookmarkEnd w:id="303"/>
            <w:r>
              <w:rPr>
                <w:rFonts w:hint="eastAsia" w:ascii="仿宋" w:hAnsi="仿宋" w:eastAsia="仿宋" w:cs="仿宋"/>
                <w:bCs/>
                <w:color w:val="auto"/>
                <w:sz w:val="28"/>
                <w:szCs w:val="28"/>
                <w:highlight w:val="none"/>
              </w:rPr>
              <w:t>磋商小组应当根据综合评分情况，按照评审得分由高到低顺序推荐3名以上成交候选供应商，并编写评审报告。符合《政府采购竞争性磋商采购方式管理暂行办法》（财库〔2014〕214号）第二十一条第三款情形的，可以推荐2家成交候选供应商。评审得分相同的，按照最后报价由低到高的顺序推荐。评审得分且最后报价相同的，按照技术指标优劣顺序推荐。</w:t>
            </w:r>
          </w:p>
        </w:tc>
      </w:tr>
      <w:tr w14:paraId="0F41E059">
        <w:tblPrEx>
          <w:tblCellMar>
            <w:top w:w="0" w:type="dxa"/>
            <w:left w:w="0" w:type="dxa"/>
            <w:bottom w:w="0" w:type="dxa"/>
            <w:right w:w="0" w:type="dxa"/>
          </w:tblCellMar>
        </w:tblPrEx>
        <w:trPr>
          <w:trHeight w:val="672" w:hRule="atLeast"/>
          <w:jc w:val="center"/>
        </w:trPr>
        <w:tc>
          <w:tcPr>
            <w:tcW w:w="652" w:type="dxa"/>
            <w:tcBorders>
              <w:top w:val="single" w:color="auto" w:sz="4" w:space="0"/>
              <w:left w:val="single" w:color="000000" w:sz="4" w:space="0"/>
              <w:bottom w:val="single" w:color="auto" w:sz="4" w:space="0"/>
              <w:right w:val="single" w:color="000000" w:sz="4" w:space="0"/>
            </w:tcBorders>
            <w:vAlign w:val="center"/>
          </w:tcPr>
          <w:p w14:paraId="2B10921E">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304" w:name="_Toc28203"/>
            <w:bookmarkStart w:id="305" w:name="_Toc22056"/>
            <w:bookmarkStart w:id="306" w:name="_Toc143443540"/>
            <w:bookmarkStart w:id="307" w:name="_Toc144907139"/>
            <w:bookmarkStart w:id="308" w:name="_Toc144907504"/>
            <w:r>
              <w:rPr>
                <w:rFonts w:hint="eastAsia" w:ascii="仿宋" w:hAnsi="仿宋" w:eastAsia="仿宋" w:cs="仿宋"/>
                <w:color w:val="auto"/>
                <w:kern w:val="0"/>
                <w:sz w:val="28"/>
                <w:szCs w:val="28"/>
                <w:highlight w:val="none"/>
              </w:rPr>
              <w:t>3</w:t>
            </w:r>
            <w:bookmarkEnd w:id="304"/>
            <w:bookmarkEnd w:id="305"/>
            <w:r>
              <w:rPr>
                <w:rFonts w:hint="eastAsia" w:ascii="仿宋" w:hAnsi="仿宋" w:eastAsia="仿宋" w:cs="仿宋"/>
                <w:color w:val="auto"/>
                <w:kern w:val="0"/>
                <w:sz w:val="28"/>
                <w:szCs w:val="28"/>
                <w:highlight w:val="none"/>
              </w:rPr>
              <w:t>1</w:t>
            </w:r>
            <w:bookmarkEnd w:id="306"/>
            <w:bookmarkEnd w:id="307"/>
            <w:bookmarkEnd w:id="308"/>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4B787858">
            <w:pPr>
              <w:keepNext w:val="0"/>
              <w:keepLines w:val="0"/>
              <w:pageBreakBefore w:val="0"/>
              <w:widowControl/>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Cs/>
                <w:color w:val="auto"/>
                <w:kern w:val="0"/>
                <w:sz w:val="28"/>
                <w:szCs w:val="28"/>
                <w:highlight w:val="none"/>
                <w:lang w:val="en-US" w:eastAsia="zh-CN" w:bidi="ar-SA"/>
              </w:rPr>
            </w:pPr>
            <w:bookmarkStart w:id="309" w:name="_Toc5049"/>
            <w:bookmarkEnd w:id="309"/>
            <w:bookmarkStart w:id="310" w:name="_Toc26546"/>
            <w:bookmarkEnd w:id="310"/>
            <w:bookmarkStart w:id="311" w:name="_Toc20317"/>
            <w:bookmarkEnd w:id="311"/>
            <w:bookmarkStart w:id="312" w:name="_Toc26722"/>
            <w:bookmarkEnd w:id="312"/>
            <w:r>
              <w:rPr>
                <w:rFonts w:hint="eastAsia" w:ascii="仿宋" w:hAnsi="仿宋" w:eastAsia="仿宋" w:cs="仿宋"/>
                <w:color w:val="auto"/>
                <w:sz w:val="28"/>
                <w:szCs w:val="28"/>
                <w:highlight w:val="none"/>
              </w:rPr>
              <w:t>成交通知书发出的形式</w:t>
            </w:r>
          </w:p>
        </w:tc>
        <w:tc>
          <w:tcPr>
            <w:tcW w:w="6827" w:type="dxa"/>
            <w:tcBorders>
              <w:top w:val="single" w:color="auto" w:sz="4" w:space="0"/>
              <w:left w:val="single" w:color="000000" w:sz="4" w:space="0"/>
              <w:bottom w:val="single" w:color="auto" w:sz="4" w:space="0"/>
              <w:right w:val="single" w:color="000000" w:sz="4" w:space="0"/>
            </w:tcBorders>
            <w:shd w:val="clear" w:color="auto" w:fill="auto"/>
            <w:vAlign w:val="center"/>
          </w:tcPr>
          <w:p w14:paraId="06C7D0BB">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left"/>
              <w:textAlignment w:val="auto"/>
              <w:rPr>
                <w:rFonts w:hint="default" w:ascii="仿宋" w:hAnsi="仿宋" w:eastAsia="仿宋" w:cs="仿宋"/>
                <w:bCs/>
                <w:color w:val="auto"/>
                <w:kern w:val="2"/>
                <w:sz w:val="28"/>
                <w:szCs w:val="28"/>
                <w:highlight w:val="none"/>
                <w:lang w:val="en-US" w:eastAsia="zh-CN" w:bidi="ar-SA"/>
              </w:rPr>
            </w:pPr>
            <w:bookmarkStart w:id="313" w:name="_Toc21775"/>
            <w:bookmarkEnd w:id="313"/>
            <w:bookmarkStart w:id="314" w:name="_Toc21612"/>
            <w:bookmarkEnd w:id="314"/>
            <w:bookmarkStart w:id="315" w:name="_Toc26552"/>
            <w:bookmarkEnd w:id="315"/>
            <w:bookmarkStart w:id="316" w:name="_Toc25195"/>
            <w:bookmarkEnd w:id="316"/>
            <w:r>
              <w:rPr>
                <w:rStyle w:val="52"/>
                <w:rFonts w:hint="eastAsia" w:ascii="仿宋" w:hAnsi="仿宋" w:eastAsia="仿宋" w:cs="仿宋"/>
                <w:color w:val="auto"/>
                <w:kern w:val="0"/>
                <w:sz w:val="28"/>
                <w:szCs w:val="28"/>
                <w:highlight w:val="none"/>
              </w:rPr>
              <w:t>书面</w:t>
            </w:r>
            <w:r>
              <w:rPr>
                <w:rStyle w:val="52"/>
                <w:rFonts w:hint="eastAsia" w:ascii="仿宋" w:hAnsi="仿宋" w:eastAsia="仿宋" w:cs="仿宋"/>
                <w:color w:val="auto"/>
                <w:kern w:val="0"/>
                <w:sz w:val="28"/>
                <w:szCs w:val="28"/>
                <w:highlight w:val="none"/>
                <w:lang w:val="en-US"/>
              </w:rPr>
              <w:t>形式</w:t>
            </w:r>
          </w:p>
        </w:tc>
      </w:tr>
      <w:tr w14:paraId="63837047">
        <w:tblPrEx>
          <w:tblCellMar>
            <w:top w:w="0" w:type="dxa"/>
            <w:left w:w="0" w:type="dxa"/>
            <w:bottom w:w="0" w:type="dxa"/>
            <w:right w:w="0" w:type="dxa"/>
          </w:tblCellMar>
        </w:tblPrEx>
        <w:trPr>
          <w:jc w:val="center"/>
        </w:trPr>
        <w:tc>
          <w:tcPr>
            <w:tcW w:w="652" w:type="dxa"/>
            <w:tcBorders>
              <w:top w:val="single" w:color="auto" w:sz="4" w:space="0"/>
              <w:left w:val="single" w:color="000000" w:sz="4" w:space="0"/>
              <w:bottom w:val="single" w:color="auto" w:sz="4" w:space="0"/>
              <w:right w:val="single" w:color="000000" w:sz="4" w:space="0"/>
            </w:tcBorders>
            <w:vAlign w:val="center"/>
          </w:tcPr>
          <w:p w14:paraId="13C0E8F5">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317" w:name="_Toc19763"/>
            <w:bookmarkStart w:id="318" w:name="_Toc19570"/>
            <w:bookmarkStart w:id="319" w:name="_Toc144907143"/>
            <w:bookmarkStart w:id="320" w:name="_Toc143443544"/>
            <w:bookmarkStart w:id="321" w:name="_Toc144907508"/>
            <w:r>
              <w:rPr>
                <w:rFonts w:hint="eastAsia" w:ascii="仿宋" w:hAnsi="仿宋" w:eastAsia="仿宋" w:cs="仿宋"/>
                <w:color w:val="auto"/>
                <w:kern w:val="0"/>
                <w:sz w:val="28"/>
                <w:szCs w:val="28"/>
                <w:highlight w:val="none"/>
              </w:rPr>
              <w:t>3</w:t>
            </w:r>
            <w:bookmarkEnd w:id="317"/>
            <w:bookmarkEnd w:id="318"/>
            <w:r>
              <w:rPr>
                <w:rFonts w:hint="eastAsia" w:ascii="仿宋" w:hAnsi="仿宋" w:eastAsia="仿宋" w:cs="仿宋"/>
                <w:color w:val="auto"/>
                <w:kern w:val="0"/>
                <w:sz w:val="28"/>
                <w:szCs w:val="28"/>
                <w:highlight w:val="none"/>
              </w:rPr>
              <w:t>2</w:t>
            </w:r>
            <w:bookmarkEnd w:id="319"/>
            <w:bookmarkEnd w:id="320"/>
            <w:bookmarkEnd w:id="321"/>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7B70EBA9">
            <w:pPr>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rPr>
              <w:t>成交结果公告</w:t>
            </w:r>
          </w:p>
        </w:tc>
        <w:tc>
          <w:tcPr>
            <w:tcW w:w="6827" w:type="dxa"/>
            <w:tcBorders>
              <w:top w:val="single" w:color="auto" w:sz="4" w:space="0"/>
              <w:left w:val="single" w:color="000000" w:sz="4" w:space="0"/>
              <w:bottom w:val="single" w:color="auto" w:sz="4" w:space="0"/>
              <w:right w:val="single" w:color="000000" w:sz="4" w:space="0"/>
            </w:tcBorders>
            <w:shd w:val="clear" w:color="auto" w:fill="auto"/>
            <w:vAlign w:val="center"/>
          </w:tcPr>
          <w:p w14:paraId="6790840D">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公告方式：在发布磋商公告的媒介上发布本项目成交结果公告；</w:t>
            </w:r>
          </w:p>
          <w:p w14:paraId="5869E73D">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公告内容：采购人及采购代理机构的名称、地址、联系方式，项目名称和项目编号，成交人名称、地址和中标金额等。</w:t>
            </w:r>
          </w:p>
          <w:p w14:paraId="63246043">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left"/>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sz w:val="28"/>
                <w:szCs w:val="28"/>
                <w:highlight w:val="none"/>
              </w:rPr>
              <w:t>成交结果公告期限：1个工作日</w:t>
            </w:r>
          </w:p>
        </w:tc>
      </w:tr>
      <w:tr w14:paraId="72E84CD9">
        <w:tblPrEx>
          <w:tblCellMar>
            <w:top w:w="0" w:type="dxa"/>
            <w:left w:w="0" w:type="dxa"/>
            <w:bottom w:w="0" w:type="dxa"/>
            <w:right w:w="0" w:type="dxa"/>
          </w:tblCellMar>
        </w:tblPrEx>
        <w:trPr>
          <w:jc w:val="center"/>
        </w:trPr>
        <w:tc>
          <w:tcPr>
            <w:tcW w:w="652" w:type="dxa"/>
            <w:tcBorders>
              <w:top w:val="single" w:color="auto" w:sz="4" w:space="0"/>
              <w:left w:val="single" w:color="000000" w:sz="4" w:space="0"/>
              <w:bottom w:val="single" w:color="auto" w:sz="4" w:space="0"/>
              <w:right w:val="single" w:color="000000" w:sz="4" w:space="0"/>
            </w:tcBorders>
            <w:vAlign w:val="center"/>
          </w:tcPr>
          <w:p w14:paraId="2CC3AD1E">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322" w:name="_Toc16525"/>
            <w:bookmarkStart w:id="323" w:name="_Toc13221"/>
            <w:bookmarkStart w:id="324" w:name="_Toc144907146"/>
            <w:bookmarkStart w:id="325" w:name="_Toc144907511"/>
            <w:bookmarkStart w:id="326" w:name="_Toc143443547"/>
            <w:r>
              <w:rPr>
                <w:rFonts w:hint="eastAsia" w:ascii="仿宋" w:hAnsi="仿宋" w:eastAsia="仿宋" w:cs="仿宋"/>
                <w:color w:val="auto"/>
                <w:kern w:val="0"/>
                <w:sz w:val="28"/>
                <w:szCs w:val="28"/>
                <w:highlight w:val="none"/>
              </w:rPr>
              <w:t>3</w:t>
            </w:r>
            <w:bookmarkEnd w:id="322"/>
            <w:bookmarkEnd w:id="323"/>
            <w:r>
              <w:rPr>
                <w:rFonts w:hint="eastAsia" w:ascii="仿宋" w:hAnsi="仿宋" w:eastAsia="仿宋" w:cs="仿宋"/>
                <w:color w:val="auto"/>
                <w:kern w:val="0"/>
                <w:sz w:val="28"/>
                <w:szCs w:val="28"/>
                <w:highlight w:val="none"/>
              </w:rPr>
              <w:t>3</w:t>
            </w:r>
            <w:bookmarkEnd w:id="324"/>
            <w:bookmarkEnd w:id="325"/>
            <w:bookmarkEnd w:id="326"/>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4798274F">
            <w:pPr>
              <w:keepNext w:val="0"/>
              <w:keepLines w:val="0"/>
              <w:pageBreakBefore w:val="0"/>
              <w:kinsoku/>
              <w:wordWrap/>
              <w:overflowPunct/>
              <w:topLinePunct w:val="0"/>
              <w:autoSpaceDE/>
              <w:autoSpaceDN/>
              <w:bidi w:val="0"/>
              <w:adjustRightInd/>
              <w:snapToGrid/>
              <w:spacing w:line="460" w:lineRule="exact"/>
              <w:ind w:left="0" w:leftChars="0" w:firstLine="560" w:firstLineChars="200"/>
              <w:jc w:val="left"/>
              <w:textAlignment w:val="auto"/>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Cs/>
                <w:color w:val="000000" w:themeColor="text1"/>
                <w:kern w:val="0"/>
                <w:sz w:val="28"/>
                <w:szCs w:val="28"/>
                <w:highlight w:val="none"/>
                <w14:textFill>
                  <w14:solidFill>
                    <w14:schemeClr w14:val="tx1"/>
                  </w14:solidFill>
                </w14:textFill>
              </w:rPr>
              <w:t>合同签订</w:t>
            </w:r>
          </w:p>
        </w:tc>
        <w:tc>
          <w:tcPr>
            <w:tcW w:w="6827" w:type="dxa"/>
            <w:tcBorders>
              <w:top w:val="single" w:color="auto" w:sz="4" w:space="0"/>
              <w:left w:val="single" w:color="000000" w:sz="4" w:space="0"/>
              <w:bottom w:val="single" w:color="auto" w:sz="4" w:space="0"/>
              <w:right w:val="single" w:color="000000" w:sz="4" w:space="0"/>
            </w:tcBorders>
            <w:shd w:val="clear" w:color="auto" w:fill="auto"/>
            <w:vAlign w:val="center"/>
          </w:tcPr>
          <w:p w14:paraId="46404CF7">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left"/>
              <w:textAlignment w:val="auto"/>
              <w:rPr>
                <w:rFonts w:hint="eastAsia" w:ascii="仿宋" w:hAnsi="仿宋" w:eastAsia="仿宋" w:cs="仿宋"/>
                <w:bCs/>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自中标（成交）通知书发出之日起7个工作日内（具体时间、地点见中标（成交）通知书）与采购人签订合同。无正当理由不得拒绝或者拖延合同签订。</w:t>
            </w:r>
          </w:p>
        </w:tc>
      </w:tr>
      <w:tr w14:paraId="2E675A46">
        <w:tblPrEx>
          <w:tblCellMar>
            <w:top w:w="0" w:type="dxa"/>
            <w:left w:w="0" w:type="dxa"/>
            <w:bottom w:w="0" w:type="dxa"/>
            <w:right w:w="0" w:type="dxa"/>
          </w:tblCellMar>
        </w:tblPrEx>
        <w:trPr>
          <w:jc w:val="center"/>
        </w:trPr>
        <w:tc>
          <w:tcPr>
            <w:tcW w:w="652" w:type="dxa"/>
            <w:tcBorders>
              <w:top w:val="single" w:color="auto" w:sz="4" w:space="0"/>
              <w:left w:val="single" w:color="000000" w:sz="4" w:space="0"/>
              <w:bottom w:val="single" w:color="auto" w:sz="4" w:space="0"/>
              <w:right w:val="single" w:color="000000" w:sz="4" w:space="0"/>
            </w:tcBorders>
            <w:vAlign w:val="center"/>
          </w:tcPr>
          <w:p w14:paraId="3917C1AE">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327" w:name="_Toc143443548"/>
            <w:bookmarkStart w:id="328" w:name="_Toc144907147"/>
            <w:bookmarkStart w:id="329" w:name="_Toc144907512"/>
            <w:r>
              <w:rPr>
                <w:rFonts w:hint="eastAsia" w:ascii="仿宋" w:hAnsi="仿宋" w:eastAsia="仿宋" w:cs="仿宋"/>
                <w:color w:val="auto"/>
                <w:kern w:val="0"/>
                <w:sz w:val="28"/>
                <w:szCs w:val="28"/>
                <w:highlight w:val="none"/>
              </w:rPr>
              <w:t>34</w:t>
            </w:r>
            <w:bookmarkEnd w:id="327"/>
            <w:bookmarkEnd w:id="328"/>
            <w:bookmarkEnd w:id="329"/>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27AF76F1">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center"/>
              <w:textAlignment w:val="auto"/>
              <w:rPr>
                <w:rFonts w:hint="eastAsia" w:ascii="仿宋" w:hAnsi="仿宋" w:eastAsia="仿宋" w:cs="仿宋"/>
                <w:bCs/>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履约担保</w:t>
            </w:r>
          </w:p>
        </w:tc>
        <w:tc>
          <w:tcPr>
            <w:tcW w:w="6827" w:type="dxa"/>
            <w:tcBorders>
              <w:top w:val="single" w:color="auto" w:sz="4" w:space="0"/>
              <w:left w:val="single" w:color="000000" w:sz="4" w:space="0"/>
              <w:bottom w:val="single" w:color="auto" w:sz="4" w:space="0"/>
              <w:right w:val="single" w:color="000000" w:sz="4" w:space="0"/>
            </w:tcBorders>
            <w:shd w:val="clear" w:color="auto" w:fill="auto"/>
            <w:vAlign w:val="top"/>
          </w:tcPr>
          <w:p w14:paraId="1874CA1A">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left"/>
              <w:textAlignment w:val="auto"/>
              <w:rPr>
                <w:rFonts w:hint="eastAsia" w:ascii="仿宋" w:hAnsi="仿宋" w:eastAsia="仿宋" w:cs="仿宋"/>
                <w:bCs/>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Cs/>
                <w:color w:val="000000" w:themeColor="text1"/>
                <w:sz w:val="28"/>
                <w:szCs w:val="28"/>
                <w:highlight w:val="none"/>
                <w:lang w:eastAsia="zh-CN"/>
                <w14:textFill>
                  <w14:solidFill>
                    <w14:schemeClr w14:val="tx1"/>
                  </w14:solidFill>
                </w14:textFill>
              </w:rPr>
              <w:t>☑</w:t>
            </w:r>
            <w:r>
              <w:rPr>
                <w:rFonts w:hint="eastAsia" w:ascii="仿宋" w:hAnsi="仿宋" w:eastAsia="仿宋" w:cs="仿宋"/>
                <w:bCs/>
                <w:color w:val="000000" w:themeColor="text1"/>
                <w:sz w:val="28"/>
                <w:szCs w:val="28"/>
                <w:highlight w:val="none"/>
                <w14:textFill>
                  <w14:solidFill>
                    <w14:schemeClr w14:val="tx1"/>
                  </w14:solidFill>
                </w14:textFill>
              </w:rPr>
              <w:t>免收</w:t>
            </w:r>
          </w:p>
        </w:tc>
      </w:tr>
      <w:tr w14:paraId="70C16C6B">
        <w:tblPrEx>
          <w:tblCellMar>
            <w:top w:w="0" w:type="dxa"/>
            <w:left w:w="0" w:type="dxa"/>
            <w:bottom w:w="0" w:type="dxa"/>
            <w:right w:w="0" w:type="dxa"/>
          </w:tblCellMar>
        </w:tblPrEx>
        <w:trPr>
          <w:trHeight w:val="2285" w:hRule="atLeast"/>
          <w:jc w:val="center"/>
        </w:trPr>
        <w:tc>
          <w:tcPr>
            <w:tcW w:w="652" w:type="dxa"/>
            <w:tcBorders>
              <w:top w:val="single" w:color="auto" w:sz="4" w:space="0"/>
              <w:left w:val="single" w:color="000000" w:sz="4" w:space="0"/>
              <w:bottom w:val="single" w:color="auto" w:sz="4" w:space="0"/>
              <w:right w:val="single" w:color="000000" w:sz="4" w:space="0"/>
            </w:tcBorders>
            <w:vAlign w:val="center"/>
          </w:tcPr>
          <w:p w14:paraId="282C007A">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330" w:name="_Toc144907148"/>
            <w:bookmarkStart w:id="331" w:name="_Toc144907513"/>
            <w:bookmarkStart w:id="332" w:name="_Toc143443549"/>
            <w:r>
              <w:rPr>
                <w:rFonts w:hint="eastAsia" w:ascii="仿宋" w:hAnsi="仿宋" w:eastAsia="仿宋" w:cs="仿宋"/>
                <w:color w:val="auto"/>
                <w:kern w:val="0"/>
                <w:sz w:val="28"/>
                <w:szCs w:val="28"/>
                <w:highlight w:val="none"/>
              </w:rPr>
              <w:t>35</w:t>
            </w:r>
            <w:bookmarkEnd w:id="330"/>
            <w:bookmarkEnd w:id="331"/>
            <w:bookmarkEnd w:id="332"/>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16E9370F">
            <w:pPr>
              <w:pStyle w:val="2"/>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 w:val="0"/>
                <w:bCs/>
                <w:color w:val="000000" w:themeColor="text1"/>
                <w:kern w:val="0"/>
                <w:sz w:val="28"/>
                <w:szCs w:val="28"/>
                <w:highlight w:val="none"/>
                <w:lang w:val="en-US" w:eastAsia="zh-CN" w:bidi="ar-SA"/>
                <w14:textFill>
                  <w14:solidFill>
                    <w14:schemeClr w14:val="tx1"/>
                  </w14:solidFill>
                </w14:textFill>
              </w:rPr>
            </w:pPr>
            <w:r>
              <w:rPr>
                <w:rFonts w:hint="eastAsia" w:ascii="仿宋" w:hAnsi="仿宋" w:eastAsia="仿宋" w:cs="仿宋"/>
                <w:b w:val="0"/>
                <w:color w:val="000000" w:themeColor="text1"/>
                <w:sz w:val="28"/>
                <w:szCs w:val="28"/>
                <w:highlight w:val="none"/>
                <w14:textFill>
                  <w14:solidFill>
                    <w14:schemeClr w14:val="tx1"/>
                  </w14:solidFill>
                </w14:textFill>
              </w:rPr>
              <w:t>代理服务费</w:t>
            </w:r>
          </w:p>
        </w:tc>
        <w:tc>
          <w:tcPr>
            <w:tcW w:w="6827" w:type="dxa"/>
            <w:tcBorders>
              <w:top w:val="single" w:color="auto" w:sz="4" w:space="0"/>
              <w:left w:val="single" w:color="000000" w:sz="4" w:space="0"/>
              <w:bottom w:val="single" w:color="auto" w:sz="4" w:space="0"/>
              <w:right w:val="single" w:color="000000" w:sz="4" w:space="0"/>
            </w:tcBorders>
            <w:shd w:val="clear" w:color="auto" w:fill="auto"/>
            <w:vAlign w:val="center"/>
          </w:tcPr>
          <w:p w14:paraId="63E71829">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jc w:val="both"/>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金额：</w:t>
            </w:r>
          </w:p>
          <w:p w14:paraId="4E95A8E1">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jc w:val="both"/>
              <w:textAlignment w:val="auto"/>
              <w:rPr>
                <w:rFonts w:hint="eastAsia" w:ascii="仿宋" w:hAnsi="仿宋" w:eastAsia="仿宋" w:cs="仿宋"/>
                <w:b w:val="0"/>
                <w:snapToGrid w:val="0"/>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b w:val="0"/>
                <w:snapToGrid w:val="0"/>
                <w:color w:val="000000" w:themeColor="text1"/>
                <w:sz w:val="28"/>
                <w:szCs w:val="28"/>
                <w:highlight w:val="none"/>
                <w14:textFill>
                  <w14:solidFill>
                    <w14:schemeClr w14:val="tx1"/>
                  </w14:solidFill>
                </w14:textFill>
              </w:rPr>
              <w:t>（免收</w:t>
            </w:r>
            <w:r>
              <w:rPr>
                <w:rFonts w:hint="eastAsia" w:ascii="仿宋" w:hAnsi="仿宋" w:eastAsia="仿宋" w:cs="仿宋"/>
                <w:b w:val="0"/>
                <w:snapToGrid w:val="0"/>
                <w:color w:val="000000" w:themeColor="text1"/>
                <w:sz w:val="28"/>
                <w:szCs w:val="28"/>
                <w:highlight w:val="none"/>
                <w:lang w:eastAsia="zh-CN"/>
                <w14:textFill>
                  <w14:solidFill>
                    <w14:schemeClr w14:val="tx1"/>
                  </w14:solidFill>
                </w14:textFill>
              </w:rPr>
              <w:t>）</w:t>
            </w:r>
          </w:p>
          <w:p w14:paraId="1E630916">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r>
              <w:rPr>
                <w:rFonts w:hint="eastAsia" w:ascii="仿宋" w:hAnsi="仿宋" w:eastAsia="仿宋" w:cs="仿宋"/>
                <w:b w:val="0"/>
                <w:snapToGrid w:val="0"/>
                <w:color w:val="000000" w:themeColor="text1"/>
                <w:sz w:val="28"/>
                <w:szCs w:val="28"/>
                <w:highlight w:val="none"/>
                <w14:textFill>
                  <w14:solidFill>
                    <w14:schemeClr w14:val="tx1"/>
                  </w14:solidFill>
                </w14:textFill>
              </w:rPr>
              <w:t>（定额收取</w:t>
            </w:r>
            <w:r>
              <w:rPr>
                <w:rFonts w:hint="eastAsia" w:ascii="仿宋" w:hAnsi="仿宋" w:eastAsia="仿宋" w:cs="仿宋"/>
                <w:b w:val="0"/>
                <w:snapToGrid w:val="0"/>
                <w:color w:val="000000" w:themeColor="text1"/>
                <w:sz w:val="28"/>
                <w:szCs w:val="28"/>
                <w:highlight w:val="none"/>
                <w:lang w:eastAsia="zh-CN"/>
                <w14:textFill>
                  <w14:solidFill>
                    <w14:schemeClr w14:val="tx1"/>
                  </w14:solidFill>
                </w14:textFill>
              </w:rPr>
              <w:t>）</w:t>
            </w:r>
            <w:r>
              <w:rPr>
                <w:rFonts w:hint="eastAsia" w:ascii="仿宋" w:hAnsi="仿宋" w:eastAsia="仿宋" w:cs="仿宋"/>
                <w:b w:val="0"/>
                <w:snapToGrid w:val="0"/>
                <w:color w:val="000000" w:themeColor="text1"/>
                <w:sz w:val="28"/>
                <w:szCs w:val="28"/>
                <w:highlight w:val="none"/>
                <w14:textFill>
                  <w14:solidFill>
                    <w14:schemeClr w14:val="tx1"/>
                  </w14:solidFill>
                </w14:textFill>
              </w:rPr>
              <w:t>：人民币</w:t>
            </w:r>
            <w:r>
              <w:rPr>
                <w:rFonts w:hint="eastAsia" w:ascii="仿宋" w:hAnsi="仿宋" w:eastAsia="仿宋" w:cs="仿宋"/>
                <w:b w:val="0"/>
                <w:snapToGrid w:val="0"/>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b w:val="0"/>
                <w:snapToGrid w:val="0"/>
                <w:color w:val="000000" w:themeColor="text1"/>
                <w:sz w:val="28"/>
                <w:szCs w:val="28"/>
                <w:highlight w:val="none"/>
                <w14:textFill>
                  <w14:solidFill>
                    <w14:schemeClr w14:val="tx1"/>
                  </w14:solidFill>
                </w14:textFill>
              </w:rPr>
              <w:t>元</w:t>
            </w:r>
          </w:p>
          <w:p w14:paraId="5BCEF75F">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lang w:eastAsia="zh-CN"/>
                <w14:textFill>
                  <w14:solidFill>
                    <w14:schemeClr w14:val="tx1"/>
                  </w14:solidFill>
                </w14:textFill>
              </w:rPr>
              <w:t>☑</w:t>
            </w:r>
            <w:r>
              <w:rPr>
                <w:rFonts w:hint="eastAsia" w:ascii="仿宋" w:hAnsi="仿宋" w:eastAsia="仿宋" w:cs="仿宋"/>
                <w:b w:val="0"/>
                <w:snapToGrid w:val="0"/>
                <w:color w:val="000000" w:themeColor="text1"/>
                <w:sz w:val="28"/>
                <w:szCs w:val="28"/>
                <w:highlight w:val="none"/>
                <w14:textFill>
                  <w14:solidFill>
                    <w14:schemeClr w14:val="tx1"/>
                  </w14:solidFill>
                </w14:textFill>
              </w:rPr>
              <w:t>按下列标准</w:t>
            </w:r>
            <w:r>
              <w:rPr>
                <w:rFonts w:hint="eastAsia" w:ascii="仿宋" w:hAnsi="仿宋" w:eastAsia="仿宋" w:cs="仿宋"/>
                <w:b w:val="0"/>
                <w:snapToGrid w:val="0"/>
                <w:color w:val="000000" w:themeColor="text1"/>
                <w:sz w:val="28"/>
                <w:szCs w:val="28"/>
                <w:highlight w:val="none"/>
                <w:lang w:val="en-US" w:eastAsia="zh-CN"/>
                <w14:textFill>
                  <w14:solidFill>
                    <w14:schemeClr w14:val="tx1"/>
                  </w14:solidFill>
                </w14:textFill>
              </w:rPr>
              <w:t>的80%</w:t>
            </w:r>
            <w:r>
              <w:rPr>
                <w:rFonts w:hint="eastAsia" w:ascii="仿宋" w:hAnsi="仿宋" w:eastAsia="仿宋" w:cs="仿宋"/>
                <w:b w:val="0"/>
                <w:snapToGrid w:val="0"/>
                <w:color w:val="000000" w:themeColor="text1"/>
                <w:sz w:val="28"/>
                <w:szCs w:val="28"/>
                <w:highlight w:val="none"/>
                <w14:textFill>
                  <w14:solidFill>
                    <w14:schemeClr w14:val="tx1"/>
                  </w14:solidFill>
                </w14:textFill>
              </w:rPr>
              <w:t>收取：</w:t>
            </w:r>
          </w:p>
          <w:tbl>
            <w:tblPr>
              <w:tblStyle w:val="31"/>
              <w:tblW w:w="655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50"/>
              <w:gridCol w:w="4001"/>
            </w:tblGrid>
            <w:tr w14:paraId="3FF6E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2550" w:type="dxa"/>
                  <w:shd w:val="clear" w:color="auto" w:fill="FFFFFF" w:themeFill="background1"/>
                </w:tcPr>
                <w:p w14:paraId="4AAC2744">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中标金额（万元）</w:t>
                  </w:r>
                </w:p>
              </w:tc>
              <w:tc>
                <w:tcPr>
                  <w:tcW w:w="4001" w:type="dxa"/>
                  <w:shd w:val="clear" w:color="auto" w:fill="FFFFFF" w:themeFill="background1"/>
                </w:tcPr>
                <w:p w14:paraId="6C5D788E">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服务</w:t>
                  </w:r>
                </w:p>
              </w:tc>
            </w:tr>
            <w:tr w14:paraId="32CF8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2550" w:type="dxa"/>
                </w:tcPr>
                <w:p w14:paraId="382F2DAC">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100以下</w:t>
                  </w:r>
                </w:p>
              </w:tc>
              <w:tc>
                <w:tcPr>
                  <w:tcW w:w="4001" w:type="dxa"/>
                </w:tcPr>
                <w:p w14:paraId="25E87767">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1.5%</w:t>
                  </w:r>
                </w:p>
              </w:tc>
            </w:tr>
            <w:tr w14:paraId="014C8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2550" w:type="dxa"/>
                </w:tcPr>
                <w:p w14:paraId="75052BAE">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100～500</w:t>
                  </w:r>
                </w:p>
              </w:tc>
              <w:tc>
                <w:tcPr>
                  <w:tcW w:w="4001" w:type="dxa"/>
                </w:tcPr>
                <w:p w14:paraId="1CF3D7D9">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0.8%</w:t>
                  </w:r>
                </w:p>
              </w:tc>
            </w:tr>
            <w:tr w14:paraId="093F1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2550" w:type="dxa"/>
                </w:tcPr>
                <w:p w14:paraId="00ACB0D3">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500～1000</w:t>
                  </w:r>
                </w:p>
              </w:tc>
              <w:tc>
                <w:tcPr>
                  <w:tcW w:w="4001" w:type="dxa"/>
                </w:tcPr>
                <w:p w14:paraId="20E07E76">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0.45%</w:t>
                  </w:r>
                </w:p>
              </w:tc>
            </w:tr>
            <w:tr w14:paraId="3C169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2550" w:type="dxa"/>
                </w:tcPr>
                <w:p w14:paraId="1B1D1AA7">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1000～5000</w:t>
                  </w:r>
                </w:p>
              </w:tc>
              <w:tc>
                <w:tcPr>
                  <w:tcW w:w="4001" w:type="dxa"/>
                </w:tcPr>
                <w:p w14:paraId="33F37075">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0.25%</w:t>
                  </w:r>
                </w:p>
              </w:tc>
            </w:tr>
            <w:tr w14:paraId="0261D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2550" w:type="dxa"/>
                </w:tcPr>
                <w:p w14:paraId="1D384989">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5000～10000</w:t>
                  </w:r>
                </w:p>
              </w:tc>
              <w:tc>
                <w:tcPr>
                  <w:tcW w:w="4001" w:type="dxa"/>
                </w:tcPr>
                <w:p w14:paraId="293A3341">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0.1%</w:t>
                  </w:r>
                </w:p>
              </w:tc>
            </w:tr>
            <w:tr w14:paraId="0F013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2550" w:type="dxa"/>
                </w:tcPr>
                <w:p w14:paraId="2C1DCD6A">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10000～50000</w:t>
                  </w:r>
                </w:p>
              </w:tc>
              <w:tc>
                <w:tcPr>
                  <w:tcW w:w="4001" w:type="dxa"/>
                </w:tcPr>
                <w:p w14:paraId="47905CA8">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0.05%</w:t>
                  </w:r>
                </w:p>
              </w:tc>
            </w:tr>
          </w:tbl>
          <w:p w14:paraId="3A56E0B2">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代理服务收费按差额定率累进法计算。</w:t>
            </w:r>
          </w:p>
          <w:p w14:paraId="15A7D267">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eastAsia" w:ascii="仿宋" w:hAnsi="仿宋" w:eastAsia="仿宋" w:cs="仿宋"/>
                <w:b w:val="0"/>
                <w:color w:val="000000" w:themeColor="text1"/>
                <w:sz w:val="28"/>
                <w:szCs w:val="28"/>
                <w:highlight w:val="none"/>
                <w14:textFill>
                  <w14:solidFill>
                    <w14:schemeClr w14:val="tx1"/>
                  </w14:solidFill>
                </w14:textFill>
              </w:rPr>
            </w:pPr>
            <w:r>
              <w:rPr>
                <w:rFonts w:hint="eastAsia" w:ascii="仿宋" w:hAnsi="仿宋" w:eastAsia="仿宋" w:cs="仿宋"/>
                <w:b w:val="0"/>
                <w:color w:val="000000" w:themeColor="text1"/>
                <w:sz w:val="28"/>
                <w:szCs w:val="28"/>
                <w:highlight w:val="none"/>
                <w14:textFill>
                  <w14:solidFill>
                    <w14:schemeClr w14:val="tx1"/>
                  </w14:solidFill>
                </w14:textFill>
              </w:rPr>
              <w:t>1.</w:t>
            </w:r>
            <w:r>
              <w:rPr>
                <w:rFonts w:hint="eastAsia" w:ascii="仿宋" w:hAnsi="仿宋" w:eastAsia="仿宋" w:cs="仿宋"/>
                <w:b w:val="0"/>
                <w:color w:val="000000" w:themeColor="text1"/>
                <w:sz w:val="28"/>
                <w:szCs w:val="28"/>
                <w:highlight w:val="none"/>
                <w:lang w:val="en-US" w:eastAsia="zh-CN"/>
                <w14:textFill>
                  <w14:solidFill>
                    <w14:schemeClr w14:val="tx1"/>
                  </w14:solidFill>
                </w14:textFill>
              </w:rPr>
              <w:t>每包</w:t>
            </w:r>
            <w:r>
              <w:rPr>
                <w:rFonts w:hint="eastAsia" w:ascii="仿宋" w:hAnsi="仿宋" w:eastAsia="仿宋" w:cs="仿宋"/>
                <w:b w:val="0"/>
                <w:color w:val="000000" w:themeColor="text1"/>
                <w:kern w:val="2"/>
                <w:sz w:val="28"/>
                <w:szCs w:val="28"/>
                <w:highlight w:val="none"/>
                <w:shd w:val="clear" w:color="auto" w:fill="FFFFFF"/>
                <w:lang w:bidi="ar"/>
                <w14:textFill>
                  <w14:solidFill>
                    <w14:schemeClr w14:val="tx1"/>
                  </w14:solidFill>
                </w14:textFill>
              </w:rPr>
              <w:t>代理服务费收费标准（1）如中标价在100万-500万，则代理费=100万元×1.5% +（中标价－100万元）×0.8%；（2）如中标价在100万以内，则代理费=中标价×1.5% （3）如代理费计算低于</w:t>
            </w:r>
            <w:r>
              <w:rPr>
                <w:rFonts w:hint="eastAsia" w:ascii="仿宋" w:hAnsi="仿宋" w:eastAsia="仿宋" w:cs="仿宋"/>
                <w:b w:val="0"/>
                <w:color w:val="000000" w:themeColor="text1"/>
                <w:kern w:val="2"/>
                <w:sz w:val="28"/>
                <w:szCs w:val="28"/>
                <w:highlight w:val="none"/>
                <w:shd w:val="clear" w:color="auto" w:fill="FFFFFF"/>
                <w:lang w:eastAsia="zh-CN" w:bidi="ar"/>
                <w14:textFill>
                  <w14:solidFill>
                    <w14:schemeClr w14:val="tx1"/>
                  </w14:solidFill>
                </w14:textFill>
              </w:rPr>
              <w:t>3000</w:t>
            </w:r>
            <w:r>
              <w:rPr>
                <w:rFonts w:hint="eastAsia" w:ascii="仿宋" w:hAnsi="仿宋" w:eastAsia="仿宋" w:cs="仿宋"/>
                <w:b w:val="0"/>
                <w:color w:val="000000" w:themeColor="text1"/>
                <w:kern w:val="2"/>
                <w:sz w:val="28"/>
                <w:szCs w:val="28"/>
                <w:highlight w:val="none"/>
                <w:shd w:val="clear" w:color="auto" w:fill="FFFFFF"/>
                <w:lang w:bidi="ar"/>
                <w14:textFill>
                  <w14:solidFill>
                    <w14:schemeClr w14:val="tx1"/>
                  </w14:solidFill>
                </w14:textFill>
              </w:rPr>
              <w:t>元的按</w:t>
            </w:r>
            <w:r>
              <w:rPr>
                <w:rFonts w:hint="eastAsia" w:ascii="仿宋" w:hAnsi="仿宋" w:eastAsia="仿宋" w:cs="仿宋"/>
                <w:b w:val="0"/>
                <w:color w:val="000000" w:themeColor="text1"/>
                <w:kern w:val="2"/>
                <w:sz w:val="28"/>
                <w:szCs w:val="28"/>
                <w:highlight w:val="none"/>
                <w:shd w:val="clear" w:color="auto" w:fill="FFFFFF"/>
                <w:lang w:eastAsia="zh-CN" w:bidi="ar"/>
                <w14:textFill>
                  <w14:solidFill>
                    <w14:schemeClr w14:val="tx1"/>
                  </w14:solidFill>
                </w14:textFill>
              </w:rPr>
              <w:t>3000元</w:t>
            </w:r>
            <w:r>
              <w:rPr>
                <w:rFonts w:hint="eastAsia" w:ascii="仿宋" w:hAnsi="仿宋" w:eastAsia="仿宋" w:cs="仿宋"/>
                <w:b w:val="0"/>
                <w:color w:val="000000" w:themeColor="text1"/>
                <w:kern w:val="2"/>
                <w:sz w:val="28"/>
                <w:szCs w:val="28"/>
                <w:highlight w:val="none"/>
                <w:shd w:val="clear" w:color="auto" w:fill="FFFFFF"/>
                <w:lang w:bidi="ar"/>
                <w14:textFill>
                  <w14:solidFill>
                    <w14:schemeClr w14:val="tx1"/>
                  </w14:solidFill>
                </w14:textFill>
              </w:rPr>
              <w:t>支付</w:t>
            </w:r>
            <w:r>
              <w:rPr>
                <w:rFonts w:hint="eastAsia" w:ascii="仿宋" w:hAnsi="仿宋" w:eastAsia="仿宋" w:cs="仿宋"/>
                <w:b w:val="0"/>
                <w:color w:val="000000" w:themeColor="text1"/>
                <w:kern w:val="2"/>
                <w:sz w:val="28"/>
                <w:szCs w:val="28"/>
                <w:highlight w:val="none"/>
                <w:shd w:val="clear" w:color="auto" w:fill="FFFFFF"/>
                <w:lang w:eastAsia="zh-CN" w:bidi="ar"/>
                <w14:textFill>
                  <w14:solidFill>
                    <w14:schemeClr w14:val="tx1"/>
                  </w14:solidFill>
                </w14:textFill>
              </w:rPr>
              <w:t>。</w:t>
            </w:r>
            <w:r>
              <w:rPr>
                <w:rFonts w:hint="eastAsia" w:ascii="仿宋" w:hAnsi="仿宋" w:eastAsia="仿宋" w:cs="仿宋"/>
                <w:b w:val="0"/>
                <w:color w:val="000000" w:themeColor="text1"/>
                <w:kern w:val="2"/>
                <w:sz w:val="28"/>
                <w:szCs w:val="28"/>
                <w:highlight w:val="none"/>
                <w:shd w:val="clear" w:color="auto" w:fill="FFFFFF"/>
                <w:lang w:bidi="ar"/>
                <w14:textFill>
                  <w14:solidFill>
                    <w14:schemeClr w14:val="tx1"/>
                  </w14:solidFill>
                </w14:textFill>
              </w:rPr>
              <w:t>代理服务费</w:t>
            </w:r>
            <w:r>
              <w:rPr>
                <w:rFonts w:hint="eastAsia" w:ascii="仿宋" w:hAnsi="仿宋" w:eastAsia="仿宋" w:cs="仿宋"/>
                <w:b w:val="0"/>
                <w:color w:val="000000" w:themeColor="text1"/>
                <w:kern w:val="2"/>
                <w:sz w:val="28"/>
                <w:szCs w:val="28"/>
                <w:highlight w:val="none"/>
                <w:shd w:val="clear" w:color="auto" w:fill="FFFFFF"/>
                <w:lang w:val="en-US" w:eastAsia="zh-CN" w:bidi="ar"/>
                <w14:textFill>
                  <w14:solidFill>
                    <w14:schemeClr w14:val="tx1"/>
                  </w14:solidFill>
                </w14:textFill>
              </w:rPr>
              <w:t>及评标评审费</w:t>
            </w:r>
            <w:r>
              <w:rPr>
                <w:rFonts w:hint="eastAsia" w:ascii="仿宋" w:hAnsi="仿宋" w:eastAsia="仿宋" w:cs="仿宋"/>
                <w:b w:val="0"/>
                <w:color w:val="000000" w:themeColor="text1"/>
                <w:sz w:val="28"/>
                <w:szCs w:val="28"/>
                <w:highlight w:val="none"/>
                <w14:textFill>
                  <w14:solidFill>
                    <w14:schemeClr w14:val="tx1"/>
                  </w14:solidFill>
                </w14:textFill>
              </w:rPr>
              <w:t>由</w:t>
            </w:r>
            <w:r>
              <w:rPr>
                <w:rFonts w:hint="eastAsia" w:ascii="仿宋" w:hAnsi="仿宋" w:eastAsia="仿宋" w:cs="仿宋"/>
                <w:b w:val="0"/>
                <w:color w:val="000000" w:themeColor="text1"/>
                <w:sz w:val="28"/>
                <w:szCs w:val="28"/>
                <w:highlight w:val="none"/>
                <w:lang w:eastAsia="zh-CN"/>
                <w14:textFill>
                  <w14:solidFill>
                    <w14:schemeClr w14:val="tx1"/>
                  </w14:solidFill>
                </w14:textFill>
              </w:rPr>
              <w:t>成交供应商</w:t>
            </w:r>
            <w:r>
              <w:rPr>
                <w:rFonts w:hint="eastAsia" w:ascii="仿宋" w:hAnsi="仿宋" w:eastAsia="仿宋" w:cs="仿宋"/>
                <w:b w:val="0"/>
                <w:color w:val="000000" w:themeColor="text1"/>
                <w:sz w:val="28"/>
                <w:szCs w:val="28"/>
                <w:highlight w:val="none"/>
                <w14:textFill>
                  <w14:solidFill>
                    <w14:schemeClr w14:val="tx1"/>
                  </w14:solidFill>
                </w14:textFill>
              </w:rPr>
              <w:t>签订合同前一次性支付给代理机构。</w:t>
            </w:r>
          </w:p>
          <w:p w14:paraId="3EEA0782">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eastAsia" w:ascii="仿宋" w:hAnsi="仿宋" w:eastAsia="仿宋" w:cs="仿宋"/>
                <w:b w:val="0"/>
                <w:snapToGrid w:val="0"/>
                <w:color w:val="000000" w:themeColor="text1"/>
                <w:sz w:val="28"/>
                <w:szCs w:val="28"/>
                <w:highlight w:val="non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2.支付方式：</w:t>
            </w:r>
            <w:r>
              <w:rPr>
                <w:rFonts w:hint="eastAsia" w:ascii="仿宋" w:hAnsi="仿宋" w:eastAsia="仿宋" w:cs="仿宋"/>
                <w:b w:val="0"/>
                <w:snapToGrid w:val="0"/>
                <w:color w:val="000000" w:themeColor="text1"/>
                <w:sz w:val="28"/>
                <w:szCs w:val="28"/>
                <w:highlight w:val="none"/>
                <w:u w:val="single"/>
                <w14:textFill>
                  <w14:solidFill>
                    <w14:schemeClr w14:val="tx1"/>
                  </w14:solidFill>
                </w14:textFill>
              </w:rPr>
              <w:t xml:space="preserve">        转账或现金          </w:t>
            </w:r>
          </w:p>
          <w:p w14:paraId="562E32A4">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eastAsia" w:ascii="仿宋" w:hAnsi="仿宋" w:eastAsia="仿宋" w:cs="仿宋"/>
                <w:b w:val="0"/>
                <w:snapToGrid w:val="0"/>
                <w:color w:val="000000" w:themeColor="text1"/>
                <w:sz w:val="28"/>
                <w:szCs w:val="28"/>
                <w:highlight w:val="none"/>
                <w:u w:val="single"/>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3.收取单位：</w:t>
            </w:r>
            <w:r>
              <w:rPr>
                <w:rFonts w:hint="eastAsia" w:ascii="仿宋" w:hAnsi="仿宋" w:eastAsia="仿宋" w:cs="仿宋"/>
                <w:b w:val="0"/>
                <w:snapToGrid w:val="0"/>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b w:val="0"/>
                <w:snapToGrid w:val="0"/>
                <w:color w:val="000000" w:themeColor="text1"/>
                <w:sz w:val="28"/>
                <w:szCs w:val="28"/>
                <w:highlight w:val="none"/>
                <w:u w:val="single"/>
                <w:lang w:val="en-US" w:eastAsia="zh-CN"/>
                <w14:textFill>
                  <w14:solidFill>
                    <w14:schemeClr w14:val="tx1"/>
                  </w14:solidFill>
                </w14:textFill>
              </w:rPr>
              <w:t>安徽踏川建设咨询有限公司</w:t>
            </w:r>
            <w:r>
              <w:rPr>
                <w:rFonts w:hint="eastAsia" w:ascii="仿宋" w:hAnsi="仿宋" w:eastAsia="仿宋" w:cs="仿宋"/>
                <w:b w:val="0"/>
                <w:snapToGrid w:val="0"/>
                <w:color w:val="000000" w:themeColor="text1"/>
                <w:sz w:val="28"/>
                <w:szCs w:val="28"/>
                <w:highlight w:val="none"/>
                <w:u w:val="single"/>
                <w14:textFill>
                  <w14:solidFill>
                    <w14:schemeClr w14:val="tx1"/>
                  </w14:solidFill>
                </w14:textFill>
              </w:rPr>
              <w:t xml:space="preserve">    </w:t>
            </w:r>
          </w:p>
          <w:p w14:paraId="0FCF6315">
            <w:pPr>
              <w:pStyle w:val="54"/>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eastAsia" w:ascii="仿宋" w:hAnsi="仿宋" w:eastAsia="仿宋" w:cs="仿宋"/>
                <w:b w:val="0"/>
                <w:bCs w:val="0"/>
                <w:color w:val="000000" w:themeColor="text1"/>
                <w:kern w:val="0"/>
                <w:sz w:val="28"/>
                <w:szCs w:val="28"/>
                <w:highlight w:val="none"/>
                <w:lang w:val="en-US" w:eastAsia="zh-CN" w:bidi="ar-SA"/>
                <w14:textFill>
                  <w14:solidFill>
                    <w14:schemeClr w14:val="tx1"/>
                  </w14:solidFill>
                </w14:textFill>
              </w:rPr>
            </w:pPr>
            <w:r>
              <w:rPr>
                <w:rFonts w:hint="eastAsia" w:ascii="仿宋" w:hAnsi="仿宋" w:eastAsia="仿宋" w:cs="仿宋"/>
                <w:b w:val="0"/>
                <w:snapToGrid w:val="0"/>
                <w:color w:val="000000" w:themeColor="text1"/>
                <w:sz w:val="28"/>
                <w:szCs w:val="28"/>
                <w:highlight w:val="none"/>
                <w14:textFill>
                  <w14:solidFill>
                    <w14:schemeClr w14:val="tx1"/>
                  </w14:solidFill>
                </w14:textFill>
              </w:rPr>
              <w:t>4.递交时间：</w:t>
            </w:r>
            <w:r>
              <w:rPr>
                <w:rFonts w:hint="eastAsia" w:ascii="仿宋" w:hAnsi="仿宋" w:eastAsia="仿宋" w:cs="仿宋"/>
                <w:b w:val="0"/>
                <w:snapToGrid w:val="0"/>
                <w:color w:val="000000" w:themeColor="text1"/>
                <w:sz w:val="28"/>
                <w:szCs w:val="28"/>
                <w:highlight w:val="none"/>
                <w:u w:val="single"/>
                <w14:textFill>
                  <w14:solidFill>
                    <w14:schemeClr w14:val="tx1"/>
                  </w14:solidFill>
                </w14:textFill>
              </w:rPr>
              <w:t xml:space="preserve">     公示结束后合同公开前   </w:t>
            </w:r>
          </w:p>
        </w:tc>
      </w:tr>
      <w:tr w14:paraId="249FB9D6">
        <w:tblPrEx>
          <w:tblCellMar>
            <w:top w:w="0" w:type="dxa"/>
            <w:left w:w="0" w:type="dxa"/>
            <w:bottom w:w="0" w:type="dxa"/>
            <w:right w:w="0" w:type="dxa"/>
          </w:tblCellMar>
        </w:tblPrEx>
        <w:trPr>
          <w:trHeight w:val="684" w:hRule="atLeast"/>
          <w:jc w:val="center"/>
        </w:trPr>
        <w:tc>
          <w:tcPr>
            <w:tcW w:w="652" w:type="dxa"/>
            <w:tcBorders>
              <w:top w:val="single" w:color="auto" w:sz="4" w:space="0"/>
              <w:left w:val="single" w:color="000000" w:sz="4" w:space="0"/>
              <w:bottom w:val="single" w:color="auto" w:sz="4" w:space="0"/>
              <w:right w:val="single" w:color="000000" w:sz="4" w:space="0"/>
            </w:tcBorders>
            <w:vAlign w:val="center"/>
          </w:tcPr>
          <w:p w14:paraId="166956D1">
            <w:pPr>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color w:val="auto"/>
                <w:sz w:val="28"/>
                <w:szCs w:val="28"/>
                <w:highlight w:val="none"/>
              </w:rPr>
            </w:pPr>
            <w:r>
              <w:rPr>
                <w:rFonts w:hint="eastAsia" w:ascii="仿宋" w:hAnsi="仿宋" w:eastAsia="仿宋" w:cs="仿宋"/>
                <w:bCs/>
                <w:color w:val="auto"/>
                <w:kern w:val="0"/>
                <w:sz w:val="28"/>
                <w:szCs w:val="28"/>
                <w:highlight w:val="none"/>
              </w:rPr>
              <w:t>36</w:t>
            </w:r>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52C9FEF7">
            <w:pPr>
              <w:pStyle w:val="2"/>
              <w:keepNext w:val="0"/>
              <w:keepLines w:val="0"/>
              <w:pageBreakBefore w:val="0"/>
              <w:kinsoku/>
              <w:wordWrap/>
              <w:overflowPunct/>
              <w:topLinePunct w:val="0"/>
              <w:autoSpaceDE/>
              <w:autoSpaceDN/>
              <w:bidi w:val="0"/>
              <w:adjustRightInd/>
              <w:snapToGrid/>
              <w:spacing w:line="460" w:lineRule="exact"/>
              <w:ind w:left="0" w:leftChars="0" w:firstLine="560" w:firstLineChars="200"/>
              <w:jc w:val="both"/>
              <w:textAlignment w:val="auto"/>
              <w:rPr>
                <w:rFonts w:hint="eastAsia" w:ascii="仿宋" w:hAnsi="仿宋" w:eastAsia="仿宋" w:cs="仿宋"/>
                <w:b w:val="0"/>
                <w:bCs w:val="0"/>
                <w:color w:val="000000" w:themeColor="text1"/>
                <w:kern w:val="0"/>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付款方式</w:t>
            </w:r>
          </w:p>
        </w:tc>
        <w:tc>
          <w:tcPr>
            <w:tcW w:w="6827" w:type="dxa"/>
            <w:tcBorders>
              <w:top w:val="single" w:color="auto" w:sz="4" w:space="0"/>
              <w:left w:val="single" w:color="000000" w:sz="4" w:space="0"/>
              <w:bottom w:val="single" w:color="auto" w:sz="4" w:space="0"/>
              <w:right w:val="single" w:color="000000" w:sz="4" w:space="0"/>
            </w:tcBorders>
            <w:shd w:val="clear" w:color="auto" w:fill="auto"/>
            <w:vAlign w:val="top"/>
          </w:tcPr>
          <w:p w14:paraId="11CDF9A8">
            <w:pPr>
              <w:pStyle w:val="2"/>
              <w:keepNext w:val="0"/>
              <w:keepLines w:val="0"/>
              <w:pageBreakBefore w:val="0"/>
              <w:widowControl w:val="0"/>
              <w:kinsoku/>
              <w:wordWrap/>
              <w:overflowPunct/>
              <w:topLinePunct w:val="0"/>
              <w:autoSpaceDE/>
              <w:autoSpaceDN/>
              <w:bidi w:val="0"/>
              <w:adjustRightInd/>
              <w:snapToGrid/>
              <w:spacing w:before="144" w:beforeLines="50" w:line="460" w:lineRule="exact"/>
              <w:ind w:left="0" w:leftChars="0"/>
              <w:jc w:val="both"/>
              <w:textAlignment w:val="auto"/>
              <w:rPr>
                <w:rFonts w:hint="eastAsia" w:ascii="仿宋" w:hAnsi="仿宋" w:eastAsia="仿宋" w:cs="仿宋"/>
                <w:b w:val="0"/>
                <w:bCs w:val="0"/>
                <w:color w:val="000000" w:themeColor="text1"/>
                <w:kern w:val="0"/>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sz w:val="28"/>
                <w:szCs w:val="28"/>
                <w:highlight w:val="yellow"/>
                <w:lang w:val="en-US" w:eastAsia="zh-CN"/>
                <w14:textFill>
                  <w14:solidFill>
                    <w14:schemeClr w14:val="tx1"/>
                  </w14:solidFill>
                </w14:textFill>
              </w:rPr>
              <w:t>评审结束支付</w:t>
            </w:r>
            <w:r>
              <w:rPr>
                <w:rFonts w:hint="eastAsia" w:ascii="仿宋" w:hAnsi="仿宋" w:eastAsia="仿宋" w:cs="仿宋"/>
                <w:b w:val="0"/>
                <w:bCs w:val="0"/>
                <w:color w:val="000000" w:themeColor="text1"/>
                <w:sz w:val="28"/>
                <w:szCs w:val="28"/>
                <w:highlight w:val="yellow"/>
                <w:lang w:eastAsia="zh-CN"/>
                <w14:textFill>
                  <w14:solidFill>
                    <w14:schemeClr w14:val="tx1"/>
                  </w14:solidFill>
                </w14:textFill>
              </w:rPr>
              <w:t>至合同金额的80%，</w:t>
            </w:r>
            <w:r>
              <w:rPr>
                <w:rFonts w:hint="eastAsia" w:ascii="仿宋" w:hAnsi="仿宋" w:eastAsia="仿宋" w:cs="仿宋"/>
                <w:b w:val="0"/>
                <w:bCs w:val="0"/>
                <w:color w:val="000000" w:themeColor="text1"/>
                <w:sz w:val="28"/>
                <w:szCs w:val="28"/>
                <w:highlight w:val="yellow"/>
                <w:lang w:val="en-US" w:eastAsia="zh-CN"/>
                <w14:textFill>
                  <w14:solidFill>
                    <w14:schemeClr w14:val="tx1"/>
                  </w14:solidFill>
                </w14:textFill>
              </w:rPr>
              <w:t>取得批复</w:t>
            </w:r>
            <w:r>
              <w:rPr>
                <w:rFonts w:hint="eastAsia" w:ascii="仿宋" w:hAnsi="仿宋" w:eastAsia="仿宋" w:cs="仿宋"/>
                <w:b w:val="0"/>
                <w:bCs w:val="0"/>
                <w:color w:val="000000" w:themeColor="text1"/>
                <w:sz w:val="28"/>
                <w:szCs w:val="28"/>
                <w:highlight w:val="yellow"/>
                <w:lang w:eastAsia="zh-CN"/>
                <w14:textFill>
                  <w14:solidFill>
                    <w14:schemeClr w14:val="tx1"/>
                  </w14:solidFill>
                </w14:textFill>
              </w:rPr>
              <w:t>后支付至合同价款100% 。</w:t>
            </w:r>
          </w:p>
        </w:tc>
      </w:tr>
      <w:tr w14:paraId="175081BF">
        <w:tblPrEx>
          <w:tblCellMar>
            <w:top w:w="0" w:type="dxa"/>
            <w:left w:w="0" w:type="dxa"/>
            <w:bottom w:w="0" w:type="dxa"/>
            <w:right w:w="0" w:type="dxa"/>
          </w:tblCellMar>
        </w:tblPrEx>
        <w:trPr>
          <w:jc w:val="center"/>
        </w:trPr>
        <w:tc>
          <w:tcPr>
            <w:tcW w:w="652" w:type="dxa"/>
            <w:tcBorders>
              <w:top w:val="single" w:color="auto" w:sz="4" w:space="0"/>
              <w:left w:val="single" w:color="000000" w:sz="4" w:space="0"/>
              <w:bottom w:val="single" w:color="auto" w:sz="4" w:space="0"/>
              <w:right w:val="single" w:color="000000" w:sz="4" w:space="0"/>
            </w:tcBorders>
            <w:vAlign w:val="center"/>
          </w:tcPr>
          <w:p w14:paraId="6111A2C3">
            <w:pPr>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Cs/>
                <w:color w:val="auto"/>
                <w:kern w:val="0"/>
                <w:sz w:val="28"/>
                <w:szCs w:val="28"/>
                <w:highlight w:val="none"/>
              </w:rPr>
            </w:pPr>
            <w:r>
              <w:rPr>
                <w:rFonts w:hint="eastAsia" w:ascii="仿宋" w:hAnsi="仿宋" w:eastAsia="仿宋" w:cs="仿宋"/>
                <w:color w:val="auto"/>
                <w:sz w:val="28"/>
                <w:szCs w:val="28"/>
                <w:highlight w:val="none"/>
              </w:rPr>
              <w:t>37</w:t>
            </w:r>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53D7E925">
            <w:pPr>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Cs/>
                <w:color w:val="000000" w:themeColor="text1"/>
                <w:kern w:val="0"/>
                <w:sz w:val="28"/>
                <w:szCs w:val="28"/>
                <w:highlight w:val="none"/>
                <w:lang w:val="en-US" w:eastAsia="zh-CN" w:bidi="ar-SA"/>
                <w14:textFill>
                  <w14:solidFill>
                    <w14:schemeClr w14:val="tx1"/>
                  </w14:solidFill>
                </w14:textFill>
              </w:rPr>
            </w:pPr>
            <w:r>
              <w:rPr>
                <w:rFonts w:hint="eastAsia" w:ascii="仿宋" w:hAnsi="仿宋" w:eastAsia="仿宋" w:cs="仿宋"/>
                <w:bCs/>
                <w:color w:val="000000" w:themeColor="text1"/>
                <w:kern w:val="0"/>
                <w:sz w:val="28"/>
                <w:szCs w:val="28"/>
                <w:highlight w:val="none"/>
                <w14:textFill>
                  <w14:solidFill>
                    <w14:schemeClr w14:val="tx1"/>
                  </w14:solidFill>
                </w14:textFill>
              </w:rPr>
              <w:t>信誉要求</w:t>
            </w:r>
          </w:p>
        </w:tc>
        <w:tc>
          <w:tcPr>
            <w:tcW w:w="6827" w:type="dxa"/>
            <w:tcBorders>
              <w:top w:val="single" w:color="auto" w:sz="4" w:space="0"/>
              <w:left w:val="single" w:color="000000" w:sz="4" w:space="0"/>
              <w:bottom w:val="single" w:color="auto" w:sz="4" w:space="0"/>
              <w:right w:val="single" w:color="000000" w:sz="4" w:space="0"/>
            </w:tcBorders>
            <w:shd w:val="clear" w:color="auto" w:fill="auto"/>
            <w:vAlign w:val="center"/>
          </w:tcPr>
          <w:p w14:paraId="6B315AB8">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供应商按照要求提供网站的信誉查询截图或提供承诺书。</w:t>
            </w:r>
          </w:p>
          <w:p w14:paraId="6250607A">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left"/>
              <w:textAlignment w:val="auto"/>
              <w:rPr>
                <w:rFonts w:hint="eastAsia"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1.在响应截止时间前，未被最高人民法院在“中国执行信息公开网”网站（http://zxgk.court.gov.cn）列为失信被执行人（可提供“中国执行信息公开网”－“失信被执行人”查询截图，无失信被执行人惩戒信息）。</w:t>
            </w:r>
          </w:p>
          <w:p w14:paraId="4E5D96B7">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left"/>
              <w:textAlignment w:val="auto"/>
              <w:rPr>
                <w:rFonts w:hint="eastAsia"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在响应截止时间前，未被国家市场监督管理部门在国家企业信用信息公示系统（www.gsxt.gov.cn）中列入严重违法失信企业名单。（可提供供应商在国家企业信用信息公示系统网页查询截图，严重违法失信一栏中无不良记录）。</w:t>
            </w:r>
          </w:p>
          <w:p w14:paraId="3779E619">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left"/>
              <w:textAlignment w:val="auto"/>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3.在响应截止时间前，未</w:t>
            </w:r>
            <w:r>
              <w:rPr>
                <w:rFonts w:hint="eastAsia" w:ascii="仿宋" w:hAnsi="仿宋" w:eastAsia="仿宋" w:cs="仿宋"/>
                <w:color w:val="000000" w:themeColor="text1"/>
                <w:sz w:val="28"/>
                <w:szCs w:val="28"/>
                <w:highlight w:val="none"/>
                <w14:textFill>
                  <w14:solidFill>
                    <w14:schemeClr w14:val="tx1"/>
                  </w14:solidFill>
                </w14:textFill>
              </w:rPr>
              <w:t>被中国政府采购网（www.ccgp.gov.cn）列入“政府采购严重违法失信行为记录名单”（可提供中国政府采购网政府采购严重违法失信行为记录名单企业查询网页截图，或者“中国执行信息公开网（</w:t>
            </w:r>
            <w:r>
              <w:rPr>
                <w:rFonts w:hint="eastAsia" w:ascii="仿宋" w:hAnsi="仿宋" w:eastAsia="仿宋" w:cs="仿宋"/>
                <w:color w:val="000000" w:themeColor="text1"/>
                <w:sz w:val="28"/>
                <w:szCs w:val="28"/>
                <w:highlight w:val="none"/>
                <w14:textFill>
                  <w14:solidFill>
                    <w14:schemeClr w14:val="tx1"/>
                  </w14:solidFill>
                </w14:textFill>
              </w:rPr>
              <w:fldChar w:fldCharType="begin"/>
            </w:r>
            <w:r>
              <w:rPr>
                <w:rFonts w:hint="eastAsia" w:ascii="仿宋" w:hAnsi="仿宋" w:eastAsia="仿宋" w:cs="仿宋"/>
                <w:color w:val="000000" w:themeColor="text1"/>
                <w:sz w:val="28"/>
                <w:szCs w:val="28"/>
                <w:highlight w:val="none"/>
                <w14:textFill>
                  <w14:solidFill>
                    <w14:schemeClr w14:val="tx1"/>
                  </w14:solidFill>
                </w14:textFill>
              </w:rPr>
              <w:instrText xml:space="preserve"> HYPERLINK "http://zxgk.court.gov.cn/" </w:instrText>
            </w:r>
            <w:r>
              <w:rPr>
                <w:rFonts w:hint="eastAsia" w:ascii="仿宋" w:hAnsi="仿宋" w:eastAsia="仿宋" w:cs="仿宋"/>
                <w:color w:val="000000" w:themeColor="text1"/>
                <w:sz w:val="28"/>
                <w:szCs w:val="28"/>
                <w:highlight w:val="none"/>
                <w14:textFill>
                  <w14:solidFill>
                    <w14:schemeClr w14:val="tx1"/>
                  </w14:solidFill>
                </w14:textFill>
              </w:rPr>
              <w:fldChar w:fldCharType="separate"/>
            </w:r>
            <w:r>
              <w:rPr>
                <w:rStyle w:val="40"/>
                <w:rFonts w:hint="eastAsia" w:ascii="仿宋" w:hAnsi="仿宋" w:eastAsia="仿宋" w:cs="仿宋"/>
                <w:color w:val="000000" w:themeColor="text1"/>
                <w:sz w:val="28"/>
                <w:szCs w:val="28"/>
                <w:highlight w:val="none"/>
                <w14:textFill>
                  <w14:solidFill>
                    <w14:schemeClr w14:val="tx1"/>
                  </w14:solidFill>
                </w14:textFill>
              </w:rPr>
              <w:t>http://zxgk.court.gov.cn/</w:t>
            </w:r>
            <w:r>
              <w:rPr>
                <w:rStyle w:val="40"/>
                <w:rFonts w:hint="eastAsia" w:ascii="仿宋" w:hAnsi="仿宋" w:eastAsia="仿宋" w:cs="仿宋"/>
                <w:color w:val="000000" w:themeColor="text1"/>
                <w:sz w:val="28"/>
                <w:szCs w:val="28"/>
                <w:highlight w:val="none"/>
                <w14:textFill>
                  <w14:solidFill>
                    <w14:schemeClr w14:val="tx1"/>
                  </w14:solidFill>
                </w14:textFill>
              </w:rPr>
              <w:fldChar w:fldCharType="end"/>
            </w:r>
            <w:r>
              <w:rPr>
                <w:rFonts w:hint="eastAsia" w:ascii="仿宋" w:hAnsi="仿宋" w:eastAsia="仿宋" w:cs="仿宋"/>
                <w:color w:val="000000" w:themeColor="text1"/>
                <w:sz w:val="28"/>
                <w:szCs w:val="28"/>
                <w:highlight w:val="none"/>
                <w14:textFill>
                  <w14:solidFill>
                    <w14:schemeClr w14:val="tx1"/>
                  </w14:solidFill>
                </w14:textFill>
              </w:rPr>
              <w:t>）”－“信用中国”－“政府采购严重违法失信行为记录名单”的网页查询截图）。</w:t>
            </w:r>
          </w:p>
        </w:tc>
      </w:tr>
      <w:tr w14:paraId="5873D288">
        <w:tblPrEx>
          <w:tblCellMar>
            <w:top w:w="0" w:type="dxa"/>
            <w:left w:w="0" w:type="dxa"/>
            <w:bottom w:w="0" w:type="dxa"/>
            <w:right w:w="0" w:type="dxa"/>
          </w:tblCellMar>
        </w:tblPrEx>
        <w:trPr>
          <w:jc w:val="center"/>
        </w:trPr>
        <w:tc>
          <w:tcPr>
            <w:tcW w:w="652" w:type="dxa"/>
            <w:tcBorders>
              <w:top w:val="single" w:color="auto" w:sz="4" w:space="0"/>
              <w:left w:val="single" w:color="000000" w:sz="4" w:space="0"/>
              <w:bottom w:val="single" w:color="auto" w:sz="4" w:space="0"/>
              <w:right w:val="single" w:color="000000" w:sz="4" w:space="0"/>
            </w:tcBorders>
            <w:vAlign w:val="center"/>
          </w:tcPr>
          <w:p w14:paraId="1485C892">
            <w:pPr>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color w:val="auto"/>
                <w:sz w:val="28"/>
                <w:szCs w:val="28"/>
                <w:highlight w:val="none"/>
              </w:rPr>
            </w:pPr>
            <w:r>
              <w:rPr>
                <w:rFonts w:hint="eastAsia" w:ascii="仿宋" w:hAnsi="仿宋" w:eastAsia="仿宋" w:cs="仿宋"/>
                <w:bCs/>
                <w:color w:val="auto"/>
                <w:kern w:val="0"/>
                <w:sz w:val="28"/>
                <w:szCs w:val="28"/>
                <w:highlight w:val="none"/>
              </w:rPr>
              <w:t>38</w:t>
            </w:r>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0255766F">
            <w:pPr>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bCs/>
                <w:color w:val="auto"/>
                <w:kern w:val="0"/>
                <w:sz w:val="28"/>
                <w:szCs w:val="28"/>
                <w:highlight w:val="none"/>
              </w:rPr>
              <w:t>其他要求</w:t>
            </w:r>
          </w:p>
        </w:tc>
        <w:tc>
          <w:tcPr>
            <w:tcW w:w="6827" w:type="dxa"/>
            <w:tcBorders>
              <w:top w:val="single" w:color="auto" w:sz="4" w:space="0"/>
              <w:left w:val="single" w:color="000000" w:sz="4" w:space="0"/>
              <w:bottom w:val="single" w:color="auto" w:sz="4" w:space="0"/>
              <w:right w:val="single" w:color="000000" w:sz="4" w:space="0"/>
            </w:tcBorders>
            <w:shd w:val="clear" w:color="auto" w:fill="auto"/>
            <w:vAlign w:val="top"/>
          </w:tcPr>
          <w:p w14:paraId="24141C7E">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kern w:val="0"/>
                <w:sz w:val="28"/>
                <w:szCs w:val="28"/>
                <w:highlight w:val="none"/>
              </w:rPr>
              <w:t>1.</w:t>
            </w:r>
            <w:r>
              <w:rPr>
                <w:rStyle w:val="52"/>
                <w:rFonts w:hint="eastAsia" w:ascii="仿宋" w:hAnsi="仿宋" w:eastAsia="仿宋" w:cs="仿宋"/>
                <w:bCs/>
                <w:color w:val="auto"/>
                <w:sz w:val="28"/>
                <w:szCs w:val="28"/>
                <w:highlight w:val="none"/>
              </w:rPr>
              <w:t>本项目发布成交结果公告后，向中标（成交）供应商发出成交通知书。</w:t>
            </w:r>
          </w:p>
          <w:p w14:paraId="1C2B0826">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2.磋商文件的解释权归采购人所有，由采购人负责解释。</w:t>
            </w:r>
          </w:p>
          <w:p w14:paraId="4AA0DDF5">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3.如磋商文件中出现前后不一致的描述，解释优先顺序依次为供应商须知前附表＞评标办法＞磋商文件其他内容。</w:t>
            </w:r>
          </w:p>
          <w:p w14:paraId="12A391F6">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w:t>
            </w:r>
            <w:r>
              <w:rPr>
                <w:rStyle w:val="52"/>
                <w:rFonts w:hint="eastAsia" w:ascii="仿宋" w:hAnsi="仿宋" w:eastAsia="仿宋" w:cs="仿宋"/>
                <w:bCs/>
                <w:color w:val="auto"/>
                <w:kern w:val="0"/>
                <w:sz w:val="28"/>
                <w:szCs w:val="28"/>
                <w:highlight w:val="none"/>
              </w:rPr>
              <w:t>严格贯彻落实国家关于节能环保、进口产品管理和促进中小型企业发展等政府采购政策。</w:t>
            </w:r>
          </w:p>
          <w:p w14:paraId="65E8F968">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Style w:val="52"/>
                <w:rFonts w:hint="eastAsia" w:ascii="仿宋" w:hAnsi="仿宋" w:eastAsia="仿宋" w:cs="仿宋"/>
                <w:bCs/>
                <w:color w:val="auto"/>
                <w:kern w:val="44"/>
                <w:sz w:val="28"/>
                <w:szCs w:val="28"/>
                <w:highlight w:val="none"/>
              </w:rPr>
            </w:pPr>
            <w:r>
              <w:rPr>
                <w:rStyle w:val="52"/>
                <w:rFonts w:hint="eastAsia" w:ascii="仿宋" w:hAnsi="仿宋" w:eastAsia="仿宋" w:cs="仿宋"/>
                <w:bCs/>
                <w:color w:val="auto"/>
                <w:kern w:val="0"/>
                <w:sz w:val="28"/>
                <w:szCs w:val="28"/>
                <w:highlight w:val="none"/>
              </w:rPr>
              <w:t>5.</w:t>
            </w:r>
            <w:r>
              <w:rPr>
                <w:rStyle w:val="52"/>
                <w:rFonts w:hint="eastAsia" w:ascii="仿宋" w:hAnsi="仿宋" w:eastAsia="仿宋" w:cs="仿宋"/>
                <w:bCs/>
                <w:color w:val="auto"/>
                <w:kern w:val="44"/>
                <w:sz w:val="28"/>
                <w:szCs w:val="28"/>
                <w:highlight w:val="none"/>
              </w:rPr>
              <w:t>法定代表人（单位负责人）为同一个人的两个及两个以上法人（单位负责人）母公司、全资子公司及其控股公司，不得同时参与投标。</w:t>
            </w:r>
          </w:p>
          <w:p w14:paraId="2DA2AF46">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仿宋" w:hAnsi="仿宋" w:eastAsia="仿宋" w:cs="仿宋"/>
                <w:bCs/>
                <w:color w:val="auto"/>
                <w:kern w:val="2"/>
                <w:sz w:val="28"/>
                <w:szCs w:val="28"/>
                <w:highlight w:val="none"/>
              </w:rPr>
            </w:pPr>
            <w:r>
              <w:rPr>
                <w:rFonts w:hint="eastAsia" w:ascii="仿宋" w:hAnsi="仿宋" w:eastAsia="仿宋" w:cs="仿宋"/>
                <w:bCs/>
                <w:color w:val="auto"/>
                <w:sz w:val="28"/>
                <w:szCs w:val="28"/>
                <w:highlight w:val="none"/>
              </w:rPr>
              <w:t>6.依据《淮南市政府采购支持中小微企业线上融资业务的实施方案》成交供应商在有需求的情况下，可电话淮南市财政局政府采购科，</w:t>
            </w: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HYPERLINK "https://jinrong.anhui.zcygov.cn/luban/finance）进行" </w:instrText>
            </w:r>
            <w:r>
              <w:rPr>
                <w:rFonts w:hint="eastAsia" w:ascii="仿宋" w:hAnsi="仿宋" w:eastAsia="仿宋" w:cs="仿宋"/>
                <w:color w:val="auto"/>
                <w:sz w:val="28"/>
                <w:szCs w:val="28"/>
                <w:highlight w:val="none"/>
              </w:rPr>
              <w:fldChar w:fldCharType="separate"/>
            </w:r>
            <w:r>
              <w:rPr>
                <w:rStyle w:val="40"/>
                <w:rFonts w:hint="eastAsia" w:ascii="仿宋" w:hAnsi="仿宋" w:eastAsia="仿宋" w:cs="仿宋"/>
                <w:bCs/>
                <w:color w:val="auto"/>
                <w:sz w:val="28"/>
                <w:szCs w:val="28"/>
                <w:highlight w:val="none"/>
              </w:rPr>
              <w:t>咨询“政采贷”业务，</w:t>
            </w:r>
            <w:r>
              <w:rPr>
                <w:rFonts w:hint="eastAsia" w:ascii="仿宋" w:hAnsi="仿宋" w:eastAsia="仿宋" w:cs="仿宋"/>
                <w:bCs/>
                <w:color w:val="auto"/>
                <w:sz w:val="28"/>
                <w:szCs w:val="28"/>
                <w:highlight w:val="none"/>
              </w:rPr>
              <w:t>联系电话：6667413、6667820</w:t>
            </w:r>
            <w:r>
              <w:rPr>
                <w:rStyle w:val="40"/>
                <w:rFonts w:hint="eastAsia" w:ascii="仿宋" w:hAnsi="仿宋" w:eastAsia="仿宋" w:cs="仿宋"/>
                <w:bCs/>
                <w:color w:val="auto"/>
                <w:sz w:val="28"/>
                <w:szCs w:val="28"/>
                <w:highlight w:val="none"/>
              </w:rPr>
              <w:t>。</w:t>
            </w:r>
            <w:r>
              <w:rPr>
                <w:rStyle w:val="40"/>
                <w:rFonts w:hint="eastAsia" w:ascii="仿宋" w:hAnsi="仿宋" w:eastAsia="仿宋" w:cs="仿宋"/>
                <w:bCs/>
                <w:color w:val="auto"/>
                <w:sz w:val="28"/>
                <w:szCs w:val="28"/>
                <w:highlight w:val="none"/>
              </w:rPr>
              <w:fldChar w:fldCharType="end"/>
            </w:r>
          </w:p>
          <w:p w14:paraId="4C3CD0D6">
            <w:pPr>
              <w:pStyle w:val="9"/>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jc w:val="both"/>
              <w:textAlignment w:val="auto"/>
              <w:rPr>
                <w:rFonts w:hint="eastAsia" w:ascii="仿宋" w:hAnsi="仿宋" w:eastAsia="仿宋" w:cs="仿宋"/>
                <w:color w:val="auto"/>
                <w:kern w:val="0"/>
                <w:sz w:val="28"/>
                <w:szCs w:val="28"/>
                <w:highlight w:val="none"/>
                <w:lang w:val="en-US" w:eastAsia="zh-CN" w:bidi="ar-SA"/>
              </w:rPr>
            </w:pPr>
            <w:r>
              <w:rPr>
                <w:rStyle w:val="52"/>
                <w:rFonts w:hint="eastAsia" w:ascii="仿宋" w:hAnsi="仿宋" w:eastAsia="仿宋" w:cs="仿宋"/>
                <w:b/>
                <w:color w:val="auto"/>
                <w:kern w:val="0"/>
                <w:sz w:val="28"/>
                <w:szCs w:val="28"/>
                <w:highlight w:val="none"/>
              </w:rPr>
              <w:t>注：投标供应商根据项目预算，结合自身及市场情况，参考相关标准及投标相关费用自行报价，如投标供应商恶意竞争低价中标造成项目中标后无法履行或所提供服务不符合要求，采购人有权拒绝验收并解除合同，重新采购。同时上报政府采购监管部门处理。</w:t>
            </w:r>
          </w:p>
        </w:tc>
      </w:tr>
      <w:tr w14:paraId="05A19A59">
        <w:tblPrEx>
          <w:tblCellMar>
            <w:top w:w="0" w:type="dxa"/>
            <w:left w:w="0" w:type="dxa"/>
            <w:bottom w:w="0" w:type="dxa"/>
            <w:right w:w="0" w:type="dxa"/>
          </w:tblCellMar>
        </w:tblPrEx>
        <w:trPr>
          <w:jc w:val="center"/>
        </w:trPr>
        <w:tc>
          <w:tcPr>
            <w:tcW w:w="652" w:type="dxa"/>
            <w:tcBorders>
              <w:top w:val="single" w:color="auto" w:sz="4" w:space="0"/>
              <w:left w:val="single" w:color="000000" w:sz="4" w:space="0"/>
              <w:bottom w:val="single" w:color="auto" w:sz="4" w:space="0"/>
              <w:right w:val="single" w:color="000000" w:sz="4" w:space="0"/>
            </w:tcBorders>
            <w:vAlign w:val="center"/>
          </w:tcPr>
          <w:p w14:paraId="20F05DCC">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333" w:name="_Toc143443550"/>
            <w:bookmarkStart w:id="334" w:name="_Toc144907514"/>
            <w:bookmarkStart w:id="335" w:name="_Toc144907149"/>
            <w:r>
              <w:rPr>
                <w:rFonts w:hint="eastAsia" w:ascii="仿宋" w:hAnsi="仿宋" w:eastAsia="仿宋" w:cs="仿宋"/>
                <w:color w:val="auto"/>
                <w:kern w:val="0"/>
                <w:sz w:val="28"/>
                <w:szCs w:val="28"/>
                <w:highlight w:val="none"/>
              </w:rPr>
              <w:t>39</w:t>
            </w:r>
            <w:bookmarkEnd w:id="333"/>
            <w:bookmarkEnd w:id="334"/>
            <w:bookmarkEnd w:id="335"/>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29A25C8C">
            <w:pPr>
              <w:keepNext w:val="0"/>
              <w:keepLines w:val="0"/>
              <w:pageBreakBefore w:val="0"/>
              <w:kinsoku/>
              <w:wordWrap/>
              <w:overflowPunct/>
              <w:topLinePunct w:val="0"/>
              <w:autoSpaceDE/>
              <w:autoSpaceDN/>
              <w:bidi w:val="0"/>
              <w:adjustRightInd/>
              <w:snapToGrid/>
              <w:spacing w:line="460" w:lineRule="exact"/>
              <w:ind w:left="0" w:leftChars="0"/>
              <w:jc w:val="center"/>
              <w:textAlignment w:val="auto"/>
              <w:rPr>
                <w:rFonts w:hint="eastAsia" w:ascii="仿宋" w:hAnsi="仿宋" w:eastAsia="仿宋" w:cs="仿宋"/>
                <w:bCs/>
                <w:color w:val="auto"/>
                <w:kern w:val="0"/>
                <w:sz w:val="28"/>
                <w:szCs w:val="28"/>
                <w:highlight w:val="none"/>
                <w:lang w:val="en-US" w:eastAsia="zh-CN" w:bidi="ar-SA"/>
              </w:rPr>
            </w:pPr>
            <w:r>
              <w:rPr>
                <w:rFonts w:hint="eastAsia" w:ascii="仿宋" w:hAnsi="仿宋" w:eastAsia="仿宋" w:cs="仿宋"/>
                <w:bCs/>
                <w:color w:val="auto"/>
                <w:sz w:val="28"/>
                <w:szCs w:val="28"/>
                <w:highlight w:val="none"/>
              </w:rPr>
              <w:t>所属行业分类</w:t>
            </w:r>
          </w:p>
        </w:tc>
        <w:tc>
          <w:tcPr>
            <w:tcW w:w="6827" w:type="dxa"/>
            <w:tcBorders>
              <w:top w:val="single" w:color="auto" w:sz="4" w:space="0"/>
              <w:left w:val="single" w:color="000000" w:sz="4" w:space="0"/>
              <w:bottom w:val="single" w:color="auto" w:sz="4" w:space="0"/>
              <w:right w:val="single" w:color="000000" w:sz="4" w:space="0"/>
            </w:tcBorders>
            <w:shd w:val="clear" w:color="auto" w:fill="auto"/>
            <w:vAlign w:val="center"/>
          </w:tcPr>
          <w:p w14:paraId="7523993B">
            <w:pPr>
              <w:keepNext w:val="0"/>
              <w:keepLines w:val="0"/>
              <w:pageBreakBefore w:val="0"/>
              <w:widowControl w:val="0"/>
              <w:suppressLineNumbers w:val="0"/>
              <w:kinsoku/>
              <w:wordWrap/>
              <w:overflowPunct/>
              <w:topLinePunct w:val="0"/>
              <w:autoSpaceDE/>
              <w:autoSpaceDN/>
              <w:bidi w:val="0"/>
              <w:adjustRightInd/>
              <w:snapToGrid/>
              <w:spacing w:line="460" w:lineRule="exact"/>
              <w:ind w:left="0" w:leftChars="0" w:right="0" w:rightChars="0"/>
              <w:jc w:val="left"/>
              <w:textAlignment w:val="auto"/>
              <w:rPr>
                <w:rFonts w:hint="eastAsia" w:ascii="仿宋" w:hAnsi="仿宋" w:eastAsia="仿宋" w:cs="仿宋"/>
                <w:b/>
                <w:color w:val="auto"/>
                <w:kern w:val="0"/>
                <w:sz w:val="28"/>
                <w:szCs w:val="28"/>
                <w:highlight w:val="none"/>
                <w:lang w:val="en-US" w:eastAsia="zh-CN" w:bidi="ar-SA"/>
              </w:rPr>
            </w:pPr>
            <w:r>
              <w:rPr>
                <w:rFonts w:hint="eastAsia" w:ascii="仿宋" w:hAnsi="仿宋" w:eastAsia="仿宋" w:cs="仿宋"/>
                <w:color w:val="auto"/>
                <w:kern w:val="10"/>
                <w:sz w:val="28"/>
                <w:szCs w:val="28"/>
                <w:highlight w:val="none"/>
              </w:rPr>
              <w:t>本项目为</w:t>
            </w:r>
            <w:r>
              <w:rPr>
                <w:rFonts w:hint="eastAsia" w:ascii="仿宋" w:hAnsi="仿宋" w:eastAsia="仿宋" w:cs="仿宋"/>
                <w:color w:val="auto"/>
                <w:kern w:val="10"/>
                <w:sz w:val="28"/>
                <w:szCs w:val="28"/>
                <w:highlight w:val="none"/>
                <w:u w:val="single"/>
              </w:rPr>
              <w:t xml:space="preserve"> </w:t>
            </w:r>
            <w:r>
              <w:rPr>
                <w:rFonts w:hint="eastAsia" w:ascii="仿宋" w:hAnsi="仿宋" w:eastAsia="仿宋" w:cs="仿宋"/>
                <w:b/>
                <w:bCs/>
                <w:color w:val="auto"/>
                <w:kern w:val="10"/>
                <w:sz w:val="28"/>
                <w:szCs w:val="28"/>
                <w:highlight w:val="none"/>
                <w:u w:val="single"/>
              </w:rPr>
              <w:t xml:space="preserve">政府采购服务 </w:t>
            </w:r>
            <w:r>
              <w:rPr>
                <w:rFonts w:hint="eastAsia" w:ascii="仿宋" w:hAnsi="仿宋" w:eastAsia="仿宋" w:cs="仿宋"/>
                <w:color w:val="auto"/>
                <w:kern w:val="10"/>
                <w:sz w:val="28"/>
                <w:szCs w:val="28"/>
                <w:highlight w:val="none"/>
              </w:rPr>
              <w:t>类，</w:t>
            </w:r>
            <w:r>
              <w:rPr>
                <w:rFonts w:hint="eastAsia" w:ascii="仿宋" w:hAnsi="仿宋" w:eastAsia="仿宋" w:cs="仿宋"/>
                <w:bCs/>
                <w:color w:val="auto"/>
                <w:kern w:val="10"/>
                <w:sz w:val="28"/>
                <w:szCs w:val="28"/>
                <w:highlight w:val="none"/>
              </w:rPr>
              <w:t>根据《工业和信息化部、国家统计局、国家发展和改革委员会、财政部关于印发中小企业划型标准规定的通知》（工信部联企业〔2011〕300 号）规定的划分标准，本项目属于</w:t>
            </w:r>
            <w:r>
              <w:rPr>
                <w:rFonts w:hint="eastAsia" w:ascii="仿宋" w:hAnsi="仿宋" w:eastAsia="仿宋" w:cs="仿宋"/>
                <w:b/>
                <w:bCs/>
                <w:color w:val="auto"/>
                <w:kern w:val="10"/>
                <w:sz w:val="28"/>
                <w:szCs w:val="28"/>
                <w:highlight w:val="none"/>
                <w:u w:val="single"/>
                <w:lang w:val="en-US" w:eastAsia="zh-CN"/>
              </w:rPr>
              <w:t>其他未列明行业</w:t>
            </w:r>
            <w:r>
              <w:rPr>
                <w:rFonts w:hint="eastAsia" w:ascii="仿宋" w:hAnsi="仿宋" w:eastAsia="仿宋" w:cs="仿宋"/>
                <w:b/>
                <w:bCs/>
                <w:color w:val="auto"/>
                <w:kern w:val="10"/>
                <w:sz w:val="28"/>
                <w:szCs w:val="28"/>
                <w:highlight w:val="none"/>
                <w:u w:val="single"/>
              </w:rPr>
              <w:t>。</w:t>
            </w:r>
          </w:p>
        </w:tc>
      </w:tr>
      <w:tr w14:paraId="32B951F4">
        <w:tblPrEx>
          <w:tblCellMar>
            <w:top w:w="0" w:type="dxa"/>
            <w:left w:w="0" w:type="dxa"/>
            <w:bottom w:w="0" w:type="dxa"/>
            <w:right w:w="0" w:type="dxa"/>
          </w:tblCellMar>
        </w:tblPrEx>
        <w:trPr>
          <w:jc w:val="center"/>
        </w:trPr>
        <w:tc>
          <w:tcPr>
            <w:tcW w:w="652" w:type="dxa"/>
            <w:tcBorders>
              <w:top w:val="single" w:color="auto" w:sz="4" w:space="0"/>
              <w:left w:val="single" w:color="000000" w:sz="4" w:space="0"/>
              <w:bottom w:val="single" w:color="auto" w:sz="4" w:space="0"/>
              <w:right w:val="single" w:color="000000" w:sz="4" w:space="0"/>
            </w:tcBorders>
            <w:vAlign w:val="center"/>
          </w:tcPr>
          <w:p w14:paraId="2BD4E4BA">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eastAsia" w:ascii="仿宋" w:hAnsi="仿宋" w:eastAsia="仿宋" w:cs="仿宋"/>
                <w:color w:val="auto"/>
                <w:kern w:val="0"/>
                <w:sz w:val="28"/>
                <w:szCs w:val="28"/>
                <w:highlight w:val="none"/>
              </w:rPr>
            </w:pPr>
            <w:bookmarkStart w:id="336" w:name="_Toc143443552"/>
            <w:bookmarkStart w:id="337" w:name="_Toc144907516"/>
            <w:bookmarkStart w:id="338" w:name="_Toc144907151"/>
            <w:r>
              <w:rPr>
                <w:rFonts w:hint="eastAsia" w:ascii="仿宋" w:hAnsi="仿宋" w:eastAsia="仿宋" w:cs="仿宋"/>
                <w:color w:val="auto"/>
                <w:kern w:val="0"/>
                <w:sz w:val="28"/>
                <w:szCs w:val="28"/>
                <w:highlight w:val="none"/>
              </w:rPr>
              <w:t>40</w:t>
            </w:r>
            <w:bookmarkEnd w:id="336"/>
            <w:bookmarkEnd w:id="337"/>
            <w:bookmarkEnd w:id="338"/>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67E8DE14">
            <w:pPr>
              <w:spacing w:line="420" w:lineRule="exact"/>
              <w:jc w:val="center"/>
              <w:rPr>
                <w:rFonts w:hint="eastAsia" w:ascii="仿宋" w:hAnsi="仿宋" w:eastAsia="仿宋" w:cs="仿宋"/>
                <w:b w:val="0"/>
                <w:bCs/>
                <w:color w:val="auto"/>
                <w:kern w:val="2"/>
                <w:sz w:val="28"/>
                <w:szCs w:val="28"/>
                <w:highlight w:val="none"/>
                <w:lang w:val="en-US" w:eastAsia="zh-CN" w:bidi="ar-SA"/>
              </w:rPr>
            </w:pPr>
            <w:r>
              <w:rPr>
                <w:rFonts w:hint="eastAsia" w:ascii="仿宋" w:eastAsia="仿宋" w:cs="仿宋"/>
                <w:bCs/>
                <w:color w:val="000000"/>
                <w:kern w:val="0"/>
                <w:sz w:val="28"/>
                <w:szCs w:val="28"/>
              </w:rPr>
              <w:t>知识产权</w:t>
            </w:r>
          </w:p>
        </w:tc>
        <w:tc>
          <w:tcPr>
            <w:tcW w:w="6827" w:type="dxa"/>
            <w:tcBorders>
              <w:top w:val="single" w:color="auto" w:sz="4" w:space="0"/>
              <w:left w:val="single" w:color="000000" w:sz="4" w:space="0"/>
              <w:bottom w:val="single" w:color="auto" w:sz="4" w:space="0"/>
              <w:right w:val="single" w:color="000000" w:sz="4" w:space="0"/>
            </w:tcBorders>
            <w:shd w:val="clear" w:color="auto" w:fill="auto"/>
            <w:vAlign w:val="top"/>
          </w:tcPr>
          <w:p w14:paraId="7D49D27B">
            <w:pPr>
              <w:keepNext w:val="0"/>
              <w:keepLines w:val="0"/>
              <w:pageBreakBefore w:val="0"/>
              <w:widowControl w:val="0"/>
              <w:suppressLineNumbers w:val="0"/>
              <w:kinsoku/>
              <w:wordWrap/>
              <w:overflowPunct/>
              <w:topLinePunct w:val="0"/>
              <w:autoSpaceDE/>
              <w:autoSpaceDN/>
              <w:bidi w:val="0"/>
              <w:adjustRightInd/>
              <w:snapToGrid/>
              <w:spacing w:line="460" w:lineRule="exact"/>
              <w:ind w:left="0" w:leftChars="0" w:right="0" w:rightChars="0"/>
              <w:jc w:val="left"/>
              <w:textAlignment w:val="auto"/>
              <w:rPr>
                <w:rFonts w:hint="eastAsia" w:ascii="仿宋" w:hAnsi="仿宋" w:eastAsia="仿宋" w:cs="仿宋"/>
                <w:bCs/>
                <w:color w:val="auto"/>
                <w:kern w:val="10"/>
                <w:sz w:val="28"/>
                <w:szCs w:val="28"/>
                <w:highlight w:val="none"/>
                <w:lang w:val="en-US" w:eastAsia="zh-CN"/>
              </w:rPr>
            </w:pPr>
            <w:r>
              <w:rPr>
                <w:rFonts w:hint="eastAsia" w:ascii="仿宋" w:hAnsi="仿宋" w:eastAsia="仿宋" w:cs="仿宋"/>
                <w:bCs/>
                <w:color w:val="auto"/>
                <w:kern w:val="10"/>
                <w:sz w:val="28"/>
                <w:szCs w:val="28"/>
                <w:highlight w:val="none"/>
                <w:lang w:val="en-US" w:eastAsia="zh-CN"/>
              </w:rPr>
              <w:t>1.构成本磋商文件各个组成部分的文件，未经采购人书面同意，投标供应商不得擅自复印和用于非本招标项目所需的其他目的。如因此导致采购人损失的，投标供应商须承担全部赔偿责任。</w:t>
            </w:r>
          </w:p>
          <w:p w14:paraId="628CDEB6">
            <w:pPr>
              <w:keepNext w:val="0"/>
              <w:keepLines w:val="0"/>
              <w:pageBreakBefore w:val="0"/>
              <w:widowControl w:val="0"/>
              <w:suppressLineNumbers w:val="0"/>
              <w:kinsoku/>
              <w:wordWrap/>
              <w:overflowPunct/>
              <w:topLinePunct w:val="0"/>
              <w:autoSpaceDE/>
              <w:autoSpaceDN/>
              <w:bidi w:val="0"/>
              <w:adjustRightInd/>
              <w:snapToGrid/>
              <w:spacing w:line="460" w:lineRule="exact"/>
              <w:ind w:left="0" w:leftChars="0" w:right="0" w:rightChars="0"/>
              <w:jc w:val="left"/>
              <w:textAlignment w:val="auto"/>
              <w:rPr>
                <w:rFonts w:hint="eastAsia" w:ascii="仿宋" w:hAnsi="仿宋" w:eastAsia="仿宋" w:cs="仿宋"/>
                <w:bCs/>
                <w:color w:val="auto"/>
                <w:kern w:val="10"/>
                <w:sz w:val="28"/>
                <w:szCs w:val="28"/>
                <w:highlight w:val="none"/>
                <w:lang w:val="en-US" w:eastAsia="zh-CN" w:bidi="ar-SA"/>
              </w:rPr>
            </w:pPr>
            <w:r>
              <w:rPr>
                <w:rFonts w:hint="eastAsia" w:ascii="仿宋" w:hAnsi="仿宋" w:eastAsia="仿宋" w:cs="仿宋"/>
                <w:bCs/>
                <w:color w:val="auto"/>
                <w:kern w:val="10"/>
                <w:sz w:val="28"/>
                <w:szCs w:val="28"/>
                <w:highlight w:val="none"/>
                <w:lang w:val="en-US" w:eastAsia="zh-CN"/>
              </w:rPr>
              <w:t>2.采购人在中华人民共和国境内使用中标货物（服务）、资料、技术、服务或其任何一部分时，履行合同义务后，享有不受限制的无偿使用权，不会产生因第三方提出侵犯其专利权、商标权或其他知识产权而引起的法律或经济纠纷。如投标供应商不拥有相应的知识产权，则在投标报价中必须包括合法获取该知识产权的一切相关费用。如因此导致采购人损失的，供应商须承担全部赔偿责任。</w:t>
            </w:r>
          </w:p>
        </w:tc>
      </w:tr>
      <w:tr w14:paraId="310356BD">
        <w:tblPrEx>
          <w:tblCellMar>
            <w:top w:w="0" w:type="dxa"/>
            <w:left w:w="0" w:type="dxa"/>
            <w:bottom w:w="0" w:type="dxa"/>
            <w:right w:w="0" w:type="dxa"/>
          </w:tblCellMar>
        </w:tblPrEx>
        <w:trPr>
          <w:jc w:val="center"/>
        </w:trPr>
        <w:tc>
          <w:tcPr>
            <w:tcW w:w="652" w:type="dxa"/>
            <w:tcBorders>
              <w:top w:val="single" w:color="auto" w:sz="4" w:space="0"/>
              <w:left w:val="single" w:color="000000" w:sz="4" w:space="0"/>
              <w:bottom w:val="single" w:color="auto" w:sz="4" w:space="0"/>
              <w:right w:val="single" w:color="000000" w:sz="4" w:space="0"/>
            </w:tcBorders>
            <w:vAlign w:val="center"/>
          </w:tcPr>
          <w:p w14:paraId="59FB7CC4">
            <w:pPr>
              <w:keepNext w:val="0"/>
              <w:keepLines w:val="0"/>
              <w:pageBreakBefore w:val="0"/>
              <w:kinsoku/>
              <w:wordWrap/>
              <w:overflowPunct/>
              <w:topLinePunct w:val="0"/>
              <w:autoSpaceDE/>
              <w:autoSpaceDN/>
              <w:bidi w:val="0"/>
              <w:adjustRightInd/>
              <w:snapToGrid/>
              <w:spacing w:line="460" w:lineRule="exact"/>
              <w:ind w:left="0" w:leftChars="0"/>
              <w:jc w:val="center"/>
              <w:textAlignment w:val="auto"/>
              <w:outlineLvl w:val="0"/>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41</w:t>
            </w:r>
          </w:p>
        </w:tc>
        <w:tc>
          <w:tcPr>
            <w:tcW w:w="2091" w:type="dxa"/>
            <w:tcBorders>
              <w:top w:val="single" w:color="auto" w:sz="4" w:space="0"/>
              <w:left w:val="single" w:color="000000" w:sz="4" w:space="0"/>
              <w:bottom w:val="single" w:color="auto" w:sz="4" w:space="0"/>
              <w:right w:val="single" w:color="000000" w:sz="4" w:space="0"/>
            </w:tcBorders>
            <w:shd w:val="clear" w:color="auto" w:fill="auto"/>
            <w:vAlign w:val="center"/>
          </w:tcPr>
          <w:p w14:paraId="2BC600C5">
            <w:pPr>
              <w:keepNext w:val="0"/>
              <w:keepLines w:val="0"/>
              <w:pageBreakBefore w:val="0"/>
              <w:kinsoku/>
              <w:wordWrap/>
              <w:overflowPunct/>
              <w:autoSpaceDE/>
              <w:autoSpaceDN/>
              <w:bidi w:val="0"/>
              <w:adjustRightInd/>
              <w:snapToGrid/>
              <w:spacing w:line="360" w:lineRule="auto"/>
              <w:ind w:left="0" w:leftChars="0" w:right="0" w:rightChars="0"/>
              <w:jc w:val="center"/>
              <w:textAlignment w:val="auto"/>
              <w:rPr>
                <w:rFonts w:hint="eastAsia" w:ascii="仿宋" w:eastAsia="仿宋" w:cs="仿宋" w:hAnsiTheme="minorHAnsi"/>
                <w:bCs/>
                <w:color w:val="000000"/>
                <w:kern w:val="0"/>
                <w:sz w:val="28"/>
                <w:szCs w:val="28"/>
                <w:lang w:val="en-US" w:eastAsia="zh-CN" w:bidi="ar-SA"/>
              </w:rPr>
            </w:pPr>
            <w:r>
              <w:rPr>
                <w:rFonts w:hint="eastAsia" w:ascii="仿宋" w:eastAsia="仿宋" w:cs="仿宋"/>
                <w:color w:val="000000"/>
                <w:sz w:val="28"/>
                <w:szCs w:val="28"/>
              </w:rPr>
              <w:t>促进中小企业发展政策</w:t>
            </w:r>
          </w:p>
        </w:tc>
        <w:tc>
          <w:tcPr>
            <w:tcW w:w="6827" w:type="dxa"/>
            <w:tcBorders>
              <w:top w:val="single" w:color="auto" w:sz="4" w:space="0"/>
              <w:left w:val="single" w:color="000000" w:sz="4" w:space="0"/>
              <w:bottom w:val="single" w:color="auto" w:sz="4" w:space="0"/>
              <w:right w:val="single" w:color="000000" w:sz="4" w:space="0"/>
            </w:tcBorders>
            <w:shd w:val="clear" w:color="auto" w:fill="auto"/>
            <w:vAlign w:val="center"/>
          </w:tcPr>
          <w:p w14:paraId="6D44FCF4">
            <w:pPr>
              <w:keepNext w:val="0"/>
              <w:keepLines w:val="0"/>
              <w:pageBreakBefore w:val="0"/>
              <w:widowControl w:val="0"/>
              <w:suppressLineNumbers w:val="0"/>
              <w:kinsoku/>
              <w:wordWrap/>
              <w:overflowPunct/>
              <w:topLinePunct w:val="0"/>
              <w:autoSpaceDE/>
              <w:autoSpaceDN/>
              <w:bidi w:val="0"/>
              <w:adjustRightInd/>
              <w:snapToGrid/>
              <w:spacing w:line="460" w:lineRule="exact"/>
              <w:ind w:left="0" w:leftChars="0" w:right="0" w:rightChars="0"/>
              <w:jc w:val="left"/>
              <w:textAlignment w:val="auto"/>
              <w:rPr>
                <w:rFonts w:hint="default" w:ascii="仿宋" w:hAnsi="仿宋" w:eastAsia="仿宋" w:cs="仿宋"/>
                <w:bCs/>
                <w:color w:val="auto"/>
                <w:kern w:val="10"/>
                <w:sz w:val="28"/>
                <w:szCs w:val="28"/>
                <w:highlight w:val="none"/>
                <w:lang w:val="en-US" w:eastAsia="zh-CN" w:bidi="ar-SA"/>
              </w:rPr>
            </w:pPr>
            <w:r>
              <w:rPr>
                <w:rFonts w:hint="eastAsia" w:ascii="仿宋" w:hAnsi="仿宋" w:eastAsia="仿宋" w:cs="仿宋"/>
                <w:bCs/>
                <w:color w:val="auto"/>
                <w:kern w:val="10"/>
                <w:sz w:val="28"/>
                <w:szCs w:val="28"/>
                <w:highlight w:val="none"/>
                <w:lang w:val="en-US" w:eastAsia="zh-CN" w:bidi="ar-SA"/>
              </w:rPr>
              <w:t>无</w:t>
            </w:r>
          </w:p>
        </w:tc>
      </w:tr>
      <w:bookmarkEnd w:id="33"/>
      <w:bookmarkEnd w:id="34"/>
    </w:tbl>
    <w:p w14:paraId="3F362016">
      <w:pPr>
        <w:pStyle w:val="2"/>
        <w:spacing w:line="420" w:lineRule="exact"/>
        <w:rPr>
          <w:rFonts w:hint="eastAsia" w:ascii="仿宋" w:hAnsi="仿宋" w:eastAsia="仿宋" w:cs="仿宋"/>
          <w:bCs/>
          <w:color w:val="auto"/>
          <w:sz w:val="24"/>
          <w:szCs w:val="24"/>
          <w:highlight w:val="none"/>
        </w:rPr>
      </w:pPr>
      <w:bookmarkStart w:id="339" w:name="_Toc2958"/>
      <w:bookmarkEnd w:id="339"/>
      <w:bookmarkStart w:id="340" w:name="_Toc9482"/>
      <w:bookmarkEnd w:id="340"/>
      <w:bookmarkStart w:id="341" w:name="_Toc8312"/>
      <w:bookmarkEnd w:id="341"/>
      <w:bookmarkStart w:id="342" w:name="_Toc6139"/>
      <w:bookmarkEnd w:id="342"/>
      <w:bookmarkStart w:id="343" w:name="_Toc29062"/>
      <w:bookmarkEnd w:id="343"/>
      <w:bookmarkStart w:id="344" w:name="_Toc8922"/>
      <w:bookmarkEnd w:id="344"/>
      <w:bookmarkStart w:id="345" w:name="_Toc25994"/>
      <w:bookmarkEnd w:id="345"/>
      <w:bookmarkStart w:id="346" w:name="_Toc8278"/>
      <w:bookmarkEnd w:id="346"/>
      <w:bookmarkStart w:id="347" w:name="_Toc143443559"/>
      <w:bookmarkStart w:id="348" w:name="_Toc144907158"/>
      <w:bookmarkStart w:id="349" w:name="_Toc32576"/>
      <w:bookmarkStart w:id="350" w:name="_Toc144907523"/>
      <w:bookmarkStart w:id="351" w:name="_Toc5570"/>
      <w:r>
        <w:rPr>
          <w:rFonts w:hint="eastAsia" w:ascii="仿宋" w:hAnsi="仿宋" w:eastAsia="仿宋" w:cs="仿宋"/>
          <w:bCs/>
          <w:color w:val="auto"/>
          <w:sz w:val="24"/>
          <w:szCs w:val="24"/>
          <w:highlight w:val="none"/>
          <w:lang w:val="en-US" w:eastAsia="zh-CN"/>
        </w:rPr>
        <w:t>磋</w:t>
      </w:r>
      <w:r>
        <w:rPr>
          <w:rFonts w:hint="eastAsia" w:ascii="仿宋" w:hAnsi="仿宋" w:eastAsia="仿宋" w:cs="仿宋"/>
          <w:bCs/>
          <w:color w:val="auto"/>
          <w:sz w:val="24"/>
          <w:szCs w:val="24"/>
          <w:highlight w:val="none"/>
        </w:rPr>
        <w:t>商文件中如有与供应商须知前附表不一致之处，以供应商须知前附表为准。</w:t>
      </w:r>
      <w:bookmarkEnd w:id="347"/>
      <w:bookmarkEnd w:id="348"/>
      <w:bookmarkEnd w:id="349"/>
      <w:bookmarkEnd w:id="350"/>
      <w:bookmarkEnd w:id="351"/>
    </w:p>
    <w:p w14:paraId="41D4A382">
      <w:pPr>
        <w:rPr>
          <w:rStyle w:val="50"/>
          <w:rFonts w:hint="eastAsia" w:ascii="仿宋" w:hAnsi="仿宋" w:eastAsia="仿宋" w:cs="仿宋"/>
          <w:b w:val="0"/>
          <w:color w:val="auto"/>
          <w:sz w:val="44"/>
          <w:szCs w:val="44"/>
          <w:highlight w:val="none"/>
        </w:rPr>
      </w:pPr>
      <w:bookmarkStart w:id="352" w:name="_bookmark2"/>
      <w:bookmarkEnd w:id="352"/>
      <w:bookmarkStart w:id="353" w:name="_Toc31973"/>
      <w:bookmarkEnd w:id="353"/>
      <w:bookmarkStart w:id="354" w:name="_Toc144907524"/>
      <w:bookmarkStart w:id="355" w:name="_Toc16029"/>
      <w:r>
        <w:rPr>
          <w:rStyle w:val="50"/>
          <w:rFonts w:hint="eastAsia" w:ascii="仿宋" w:hAnsi="仿宋" w:eastAsia="仿宋" w:cs="仿宋"/>
          <w:b w:val="0"/>
          <w:color w:val="auto"/>
          <w:sz w:val="44"/>
          <w:szCs w:val="44"/>
          <w:highlight w:val="none"/>
        </w:rPr>
        <w:br w:type="page"/>
      </w:r>
    </w:p>
    <w:p w14:paraId="00768102">
      <w:pPr>
        <w:pStyle w:val="48"/>
        <w:spacing w:after="0"/>
        <w:jc w:val="center"/>
        <w:rPr>
          <w:rFonts w:hint="eastAsia" w:ascii="仿宋" w:hAnsi="仿宋" w:eastAsia="仿宋" w:cs="仿宋"/>
          <w:b w:val="0"/>
          <w:color w:val="auto"/>
          <w:sz w:val="28"/>
          <w:szCs w:val="28"/>
          <w:highlight w:val="none"/>
        </w:rPr>
      </w:pPr>
      <w:r>
        <w:rPr>
          <w:rStyle w:val="50"/>
          <w:rFonts w:hint="eastAsia" w:ascii="仿宋" w:hAnsi="仿宋" w:eastAsia="仿宋" w:cs="仿宋"/>
          <w:b w:val="0"/>
          <w:color w:val="auto"/>
          <w:sz w:val="44"/>
          <w:szCs w:val="44"/>
          <w:highlight w:val="none"/>
        </w:rPr>
        <w:t>第三章 供应商须知</w:t>
      </w:r>
      <w:bookmarkEnd w:id="354"/>
      <w:bookmarkStart w:id="356" w:name="_Toc13052"/>
      <w:bookmarkEnd w:id="356"/>
      <w:bookmarkStart w:id="357" w:name="_Toc32310"/>
      <w:bookmarkEnd w:id="357"/>
      <w:bookmarkStart w:id="358" w:name="_Toc21466"/>
      <w:bookmarkEnd w:id="358"/>
      <w:bookmarkStart w:id="359" w:name="_Toc23293"/>
      <w:bookmarkEnd w:id="359"/>
      <w:bookmarkStart w:id="360" w:name="_Toc31395"/>
      <w:bookmarkEnd w:id="360"/>
      <w:bookmarkStart w:id="361" w:name="_Toc2653"/>
      <w:bookmarkEnd w:id="361"/>
      <w:bookmarkStart w:id="362" w:name="_Toc6885"/>
      <w:bookmarkEnd w:id="362"/>
      <w:bookmarkStart w:id="363" w:name="_Toc7124"/>
      <w:bookmarkEnd w:id="363"/>
      <w:bookmarkStart w:id="364" w:name="_Toc21355"/>
      <w:bookmarkEnd w:id="364"/>
      <w:bookmarkStart w:id="365" w:name="_Toc11310"/>
      <w:bookmarkEnd w:id="365"/>
      <w:bookmarkStart w:id="366" w:name="一．总____则"/>
      <w:bookmarkEnd w:id="366"/>
      <w:bookmarkStart w:id="367" w:name="_Toc30793"/>
      <w:bookmarkEnd w:id="367"/>
      <w:bookmarkStart w:id="368" w:name="_Toc10248"/>
      <w:bookmarkEnd w:id="368"/>
      <w:bookmarkStart w:id="369" w:name="_Toc143449030"/>
      <w:bookmarkStart w:id="370" w:name="_Toc143449752"/>
    </w:p>
    <w:p w14:paraId="76818CC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71" w:name="_Toc144907525"/>
      <w:r>
        <w:rPr>
          <w:rFonts w:hint="eastAsia" w:ascii="仿宋" w:hAnsi="仿宋" w:eastAsia="仿宋" w:cs="仿宋"/>
          <w:b w:val="0"/>
          <w:color w:val="auto"/>
          <w:sz w:val="24"/>
          <w:szCs w:val="24"/>
          <w:highlight w:val="none"/>
        </w:rPr>
        <w:t>1 适用范围</w:t>
      </w:r>
      <w:bookmarkEnd w:id="371"/>
    </w:p>
    <w:p w14:paraId="20E80C15">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72" w:name="_Toc144907526"/>
      <w:r>
        <w:rPr>
          <w:rFonts w:hint="eastAsia" w:ascii="仿宋" w:hAnsi="仿宋" w:eastAsia="仿宋" w:cs="仿宋"/>
          <w:b w:val="0"/>
          <w:color w:val="auto"/>
          <w:sz w:val="24"/>
          <w:szCs w:val="24"/>
          <w:highlight w:val="none"/>
        </w:rPr>
        <w:t>1.1 本磋商文件仅适用于本次磋商所述的服务项目采购。</w:t>
      </w:r>
      <w:bookmarkEnd w:id="372"/>
    </w:p>
    <w:p w14:paraId="7B860585">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73" w:name="_Toc144907527"/>
      <w:r>
        <w:rPr>
          <w:rFonts w:hint="eastAsia" w:ascii="仿宋" w:hAnsi="仿宋" w:eastAsia="仿宋" w:cs="仿宋"/>
          <w:b w:val="0"/>
          <w:color w:val="auto"/>
          <w:sz w:val="24"/>
          <w:szCs w:val="24"/>
          <w:highlight w:val="none"/>
        </w:rPr>
        <w:t>2 定义</w:t>
      </w:r>
      <w:bookmarkEnd w:id="373"/>
    </w:p>
    <w:p w14:paraId="78A9855F">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74" w:name="_Toc144907528"/>
      <w:r>
        <w:rPr>
          <w:rFonts w:hint="eastAsia" w:ascii="仿宋" w:hAnsi="仿宋" w:eastAsia="仿宋" w:cs="仿宋"/>
          <w:b w:val="0"/>
          <w:color w:val="auto"/>
          <w:sz w:val="24"/>
          <w:szCs w:val="24"/>
          <w:highlight w:val="none"/>
        </w:rPr>
        <w:t>2.1 服务：系指除货物和工程以外的其他政府采购对象，包括咨询、调研、评估、规划、设计、监理、审计、保险、租赁、印刷、维修、物业管理等。</w:t>
      </w:r>
      <w:bookmarkEnd w:id="374"/>
    </w:p>
    <w:p w14:paraId="7A9E4A15">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75" w:name="_Toc144907529"/>
      <w:r>
        <w:rPr>
          <w:rFonts w:hint="eastAsia" w:ascii="仿宋" w:hAnsi="仿宋" w:eastAsia="仿宋" w:cs="仿宋"/>
          <w:b w:val="0"/>
          <w:color w:val="auto"/>
          <w:sz w:val="24"/>
          <w:szCs w:val="24"/>
          <w:highlight w:val="none"/>
        </w:rPr>
        <w:t>2.2 时限（年份、月份等）计算：系指从磋商之日向前追溯 X 年/月（“X”为“一”及以后整数）起算。</w:t>
      </w:r>
      <w:bookmarkEnd w:id="375"/>
    </w:p>
    <w:p w14:paraId="02A321FD">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76" w:name="_Toc144907530"/>
      <w:r>
        <w:rPr>
          <w:rFonts w:hint="eastAsia" w:ascii="仿宋" w:hAnsi="仿宋" w:eastAsia="仿宋" w:cs="仿宋"/>
          <w:b w:val="0"/>
          <w:color w:val="auto"/>
          <w:sz w:val="24"/>
          <w:szCs w:val="24"/>
          <w:highlight w:val="none"/>
        </w:rPr>
        <w:t>2.3 业绩：除非本磋商文件中另有规定，业绩系指符合本磋商文件规定的与最终用户签订的合同。供应商与其关联公司（如母公司、控股公司、分公司、子公司、同一法定代表人的公司等）之间签订的合同，均予认可。</w:t>
      </w:r>
      <w:bookmarkEnd w:id="376"/>
    </w:p>
    <w:p w14:paraId="40CFAAD7">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77" w:name="_Toc144907531"/>
      <w:r>
        <w:rPr>
          <w:rFonts w:hint="eastAsia" w:ascii="仿宋" w:hAnsi="仿宋" w:eastAsia="仿宋" w:cs="仿宋"/>
          <w:b w:val="0"/>
          <w:color w:val="auto"/>
          <w:sz w:val="24"/>
          <w:szCs w:val="24"/>
          <w:highlight w:val="none"/>
        </w:rPr>
        <w:t>除非本磋商文件中另有规定，否则业绩均为已服务完毕的业绩，业绩时间均以合同签订之日为追溯节点。</w:t>
      </w:r>
      <w:bookmarkEnd w:id="377"/>
    </w:p>
    <w:p w14:paraId="61DB7B4A">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78" w:name="_Toc144907532"/>
      <w:r>
        <w:rPr>
          <w:rFonts w:hint="eastAsia" w:ascii="仿宋" w:hAnsi="仿宋" w:eastAsia="仿宋" w:cs="仿宋"/>
          <w:b w:val="0"/>
          <w:color w:val="auto"/>
          <w:sz w:val="24"/>
          <w:szCs w:val="24"/>
          <w:highlight w:val="none"/>
        </w:rPr>
        <w:t>3 采购人、采购代理机构及供应商</w:t>
      </w:r>
      <w:bookmarkEnd w:id="378"/>
    </w:p>
    <w:p w14:paraId="037D51DF">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79" w:name="_Toc144907533"/>
      <w:r>
        <w:rPr>
          <w:rFonts w:hint="eastAsia" w:ascii="仿宋" w:hAnsi="仿宋" w:eastAsia="仿宋" w:cs="仿宋"/>
          <w:b w:val="0"/>
          <w:color w:val="auto"/>
          <w:sz w:val="24"/>
          <w:szCs w:val="24"/>
          <w:highlight w:val="none"/>
        </w:rPr>
        <w:t>3.1 采购人：是指依法开展政府采购活动的国家机关、事业单位、团体组织。</w:t>
      </w:r>
      <w:bookmarkEnd w:id="379"/>
    </w:p>
    <w:p w14:paraId="5EC4F75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80" w:name="_Toc144907534"/>
      <w:r>
        <w:rPr>
          <w:rFonts w:hint="eastAsia" w:ascii="仿宋" w:hAnsi="仿宋" w:eastAsia="仿宋" w:cs="仿宋"/>
          <w:b w:val="0"/>
          <w:color w:val="auto"/>
          <w:sz w:val="24"/>
          <w:szCs w:val="24"/>
          <w:highlight w:val="none"/>
        </w:rPr>
        <w:t>3.2采购代理机构：是指集中采购机构或从事采购代理业务的社会中介机构。</w:t>
      </w:r>
      <w:bookmarkEnd w:id="380"/>
    </w:p>
    <w:p w14:paraId="261FC917">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81" w:name="_Toc144907535"/>
      <w:r>
        <w:rPr>
          <w:rFonts w:hint="eastAsia" w:ascii="仿宋" w:hAnsi="仿宋" w:eastAsia="仿宋" w:cs="仿宋"/>
          <w:b w:val="0"/>
          <w:color w:val="auto"/>
          <w:sz w:val="24"/>
          <w:szCs w:val="24"/>
          <w:highlight w:val="none"/>
        </w:rPr>
        <w:t>3.3 政府采购监督管理部门：各级人民政府指定的有关部门依法履行与政府采购活动有关的监督管理职责。本项目的政府采购监督管理部门为淮南市财政局。</w:t>
      </w:r>
      <w:bookmarkEnd w:id="381"/>
    </w:p>
    <w:p w14:paraId="3E62ECE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82" w:name="_Toc144907536"/>
      <w:r>
        <w:rPr>
          <w:rFonts w:hint="eastAsia" w:ascii="仿宋" w:hAnsi="仿宋" w:eastAsia="仿宋" w:cs="仿宋"/>
          <w:b w:val="0"/>
          <w:color w:val="auto"/>
          <w:sz w:val="24"/>
          <w:szCs w:val="24"/>
          <w:highlight w:val="none"/>
        </w:rPr>
        <w:t>3.4 供应商：是指向采购人提供货物、工程或者服务的法人、非法人组织或者自然人。本项目的供应商须满足以下条件：</w:t>
      </w:r>
      <w:bookmarkEnd w:id="382"/>
    </w:p>
    <w:p w14:paraId="047B32EA">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83" w:name="_Toc144907538"/>
      <w:r>
        <w:rPr>
          <w:rFonts w:hint="eastAsia" w:ascii="仿宋" w:hAnsi="仿宋" w:eastAsia="仿宋" w:cs="仿宋"/>
          <w:b w:val="0"/>
          <w:color w:val="auto"/>
          <w:sz w:val="24"/>
          <w:szCs w:val="24"/>
          <w:highlight w:val="none"/>
        </w:rPr>
        <w:t>3.4.</w:t>
      </w:r>
      <w:r>
        <w:rPr>
          <w:rFonts w:hint="eastAsia" w:ascii="仿宋" w:hAnsi="仿宋" w:eastAsia="仿宋" w:cs="仿宋"/>
          <w:b w:val="0"/>
          <w:color w:val="auto"/>
          <w:sz w:val="24"/>
          <w:szCs w:val="24"/>
          <w:highlight w:val="none"/>
          <w:lang w:val="en-US" w:eastAsia="zh-CN"/>
        </w:rPr>
        <w:t>1</w:t>
      </w:r>
      <w:r>
        <w:rPr>
          <w:rFonts w:hint="eastAsia" w:ascii="仿宋" w:hAnsi="仿宋" w:eastAsia="仿宋" w:cs="仿宋"/>
          <w:b w:val="0"/>
          <w:color w:val="auto"/>
          <w:sz w:val="24"/>
          <w:szCs w:val="24"/>
          <w:highlight w:val="none"/>
        </w:rPr>
        <w:t xml:space="preserve"> 具备《中华人民共和国政府采购法》第二十二条关于供应商条件的规定，遵守本项目采购人本级和上级财政部门政府采购的有关规定。</w:t>
      </w:r>
      <w:bookmarkEnd w:id="383"/>
    </w:p>
    <w:p w14:paraId="32A2AB9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84" w:name="_Toc144907539"/>
      <w:r>
        <w:rPr>
          <w:rFonts w:hint="eastAsia" w:ascii="仿宋" w:hAnsi="仿宋" w:eastAsia="仿宋" w:cs="仿宋"/>
          <w:b w:val="0"/>
          <w:color w:val="auto"/>
          <w:sz w:val="24"/>
          <w:szCs w:val="24"/>
          <w:highlight w:val="none"/>
        </w:rPr>
        <w:t>3.4.</w:t>
      </w:r>
      <w:r>
        <w:rPr>
          <w:rFonts w:hint="eastAsia" w:ascii="仿宋" w:hAnsi="仿宋" w:eastAsia="仿宋" w:cs="仿宋"/>
          <w:b w:val="0"/>
          <w:color w:val="auto"/>
          <w:sz w:val="24"/>
          <w:szCs w:val="24"/>
          <w:highlight w:val="none"/>
          <w:lang w:val="en-US" w:eastAsia="zh-CN"/>
        </w:rPr>
        <w:t>2</w:t>
      </w:r>
      <w:r>
        <w:rPr>
          <w:rFonts w:hint="eastAsia" w:ascii="仿宋" w:hAnsi="仿宋" w:eastAsia="仿宋" w:cs="仿宋"/>
          <w:b w:val="0"/>
          <w:color w:val="auto"/>
          <w:sz w:val="24"/>
          <w:szCs w:val="24"/>
          <w:highlight w:val="none"/>
        </w:rPr>
        <w:t xml:space="preserve"> 以采购代理机构认可的方式获得了本项目的磋商文件。</w:t>
      </w:r>
      <w:bookmarkEnd w:id="384"/>
    </w:p>
    <w:p w14:paraId="7C80226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85" w:name="_Toc144907540"/>
      <w:r>
        <w:rPr>
          <w:rFonts w:hint="eastAsia" w:ascii="仿宋" w:hAnsi="仿宋" w:eastAsia="仿宋" w:cs="仿宋"/>
          <w:b w:val="0"/>
          <w:color w:val="auto"/>
          <w:sz w:val="24"/>
          <w:szCs w:val="24"/>
          <w:highlight w:val="none"/>
        </w:rPr>
        <w:t>3.4.</w:t>
      </w:r>
      <w:r>
        <w:rPr>
          <w:rFonts w:hint="eastAsia" w:ascii="仿宋" w:hAnsi="仿宋" w:eastAsia="仿宋" w:cs="仿宋"/>
          <w:b w:val="0"/>
          <w:color w:val="auto"/>
          <w:sz w:val="24"/>
          <w:szCs w:val="24"/>
          <w:highlight w:val="none"/>
          <w:lang w:val="en-US" w:eastAsia="zh-CN"/>
        </w:rPr>
        <w:t>3</w:t>
      </w:r>
      <w:r>
        <w:rPr>
          <w:rFonts w:hint="eastAsia" w:ascii="仿宋" w:hAnsi="仿宋" w:eastAsia="仿宋" w:cs="仿宋"/>
          <w:b w:val="0"/>
          <w:color w:val="auto"/>
          <w:sz w:val="24"/>
          <w:szCs w:val="24"/>
          <w:highlight w:val="none"/>
        </w:rPr>
        <w:t xml:space="preserve"> 若供应商须知前附表中写明专门面向中小企业采购的，如供应商为非中小企业，其响应文件将被认定为 响应无效。</w:t>
      </w:r>
      <w:bookmarkEnd w:id="385"/>
    </w:p>
    <w:p w14:paraId="77C276B1">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86" w:name="_Toc144907541"/>
      <w:r>
        <w:rPr>
          <w:rFonts w:hint="eastAsia" w:ascii="仿宋" w:hAnsi="仿宋" w:eastAsia="仿宋" w:cs="仿宋"/>
          <w:b w:val="0"/>
          <w:color w:val="auto"/>
          <w:sz w:val="24"/>
          <w:szCs w:val="24"/>
          <w:highlight w:val="none"/>
        </w:rPr>
        <w:t>3.5 若供应商须知前附表中允许联合体参加磋商，对联合体规定如下：</w:t>
      </w:r>
      <w:bookmarkEnd w:id="386"/>
    </w:p>
    <w:p w14:paraId="385A6EA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87" w:name="_Toc144907542"/>
      <w:r>
        <w:rPr>
          <w:rFonts w:hint="eastAsia" w:ascii="仿宋" w:hAnsi="仿宋" w:eastAsia="仿宋" w:cs="仿宋"/>
          <w:b w:val="0"/>
          <w:color w:val="auto"/>
          <w:sz w:val="24"/>
          <w:szCs w:val="24"/>
          <w:highlight w:val="none"/>
        </w:rPr>
        <w:t>3.5.1两个以上供应商可以组成一个磋商联合体，以一个供应商的身份磋商。</w:t>
      </w:r>
      <w:bookmarkEnd w:id="387"/>
    </w:p>
    <w:p w14:paraId="05715CC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88" w:name="_Toc144907543"/>
      <w:r>
        <w:rPr>
          <w:rFonts w:hint="eastAsia" w:ascii="仿宋" w:hAnsi="仿宋" w:eastAsia="仿宋" w:cs="仿宋"/>
          <w:b w:val="0"/>
          <w:color w:val="auto"/>
          <w:sz w:val="24"/>
          <w:szCs w:val="24"/>
          <w:highlight w:val="none"/>
        </w:rPr>
        <w:t>3.5.2 联合体各方均应符合《中华人民共和国政府采购法》第二十二条规定的条件。</w:t>
      </w:r>
      <w:bookmarkEnd w:id="388"/>
    </w:p>
    <w:p w14:paraId="32B10E55">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89" w:name="_Toc144907544"/>
      <w:r>
        <w:rPr>
          <w:rFonts w:hint="eastAsia" w:ascii="仿宋" w:hAnsi="仿宋" w:eastAsia="仿宋" w:cs="仿宋"/>
          <w:b w:val="0"/>
          <w:color w:val="auto"/>
          <w:sz w:val="24"/>
          <w:szCs w:val="24"/>
          <w:highlight w:val="none"/>
        </w:rPr>
        <w:t>3.5.3 采购人根据采购项目对供应商的特殊要求，联合体中至少应当有一方符合相关规定。</w:t>
      </w:r>
      <w:bookmarkEnd w:id="389"/>
    </w:p>
    <w:p w14:paraId="563DB55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90" w:name="_Toc144907545"/>
      <w:r>
        <w:rPr>
          <w:rFonts w:hint="eastAsia" w:ascii="仿宋" w:hAnsi="仿宋" w:eastAsia="仿宋" w:cs="仿宋"/>
          <w:b w:val="0"/>
          <w:color w:val="auto"/>
          <w:sz w:val="24"/>
          <w:szCs w:val="24"/>
          <w:highlight w:val="none"/>
        </w:rPr>
        <w:t>3.5.4 联合体各方应签订联合体协议，明确约定联合体各方承担的工作和相应的责任，并将联合体协议作为响应文件的一部分提交。</w:t>
      </w:r>
      <w:bookmarkEnd w:id="390"/>
    </w:p>
    <w:p w14:paraId="391AA0BA">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91" w:name="_Toc144907546"/>
      <w:r>
        <w:rPr>
          <w:rFonts w:hint="eastAsia" w:ascii="仿宋" w:hAnsi="仿宋" w:eastAsia="仿宋" w:cs="仿宋"/>
          <w:b w:val="0"/>
          <w:color w:val="auto"/>
          <w:sz w:val="24"/>
          <w:szCs w:val="24"/>
          <w:highlight w:val="none"/>
        </w:rPr>
        <w:t>3.5.5 大中型企业、其他自然人、法人或者非法人组织与小型、微型企业组成联合体共同参加磋商，联合体协议中应写明小型、微型企业的协议合同金额占到联合体协议合同总金额的比例。</w:t>
      </w:r>
      <w:bookmarkEnd w:id="391"/>
    </w:p>
    <w:p w14:paraId="0AC496CF">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92" w:name="_Toc144907547"/>
      <w:r>
        <w:rPr>
          <w:rFonts w:hint="eastAsia" w:ascii="仿宋" w:hAnsi="仿宋" w:eastAsia="仿宋" w:cs="仿宋"/>
          <w:b w:val="0"/>
          <w:color w:val="auto"/>
          <w:sz w:val="24"/>
          <w:szCs w:val="24"/>
          <w:highlight w:val="none"/>
        </w:rPr>
        <w:t>3.5.6 联合体中有同类资质的供应商按照联合体分工承担相同工作的，应当按照资质等级较低的供应商确定资质等级。</w:t>
      </w:r>
      <w:bookmarkEnd w:id="392"/>
    </w:p>
    <w:p w14:paraId="439DB9FC">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93" w:name="_Toc144907548"/>
      <w:r>
        <w:rPr>
          <w:rFonts w:hint="eastAsia" w:ascii="仿宋" w:hAnsi="仿宋" w:eastAsia="仿宋" w:cs="仿宋"/>
          <w:b w:val="0"/>
          <w:color w:val="auto"/>
          <w:sz w:val="24"/>
          <w:szCs w:val="24"/>
          <w:highlight w:val="none"/>
        </w:rPr>
        <w:t>3.5.7 以联合体形式参加政府采购活动的，联合体各方不得再单独参加或者与其他供应商另外组成联合体参加本项目磋商，否则相关响应文件将被认定为响应无效。</w:t>
      </w:r>
      <w:bookmarkEnd w:id="393"/>
    </w:p>
    <w:p w14:paraId="05134222">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94" w:name="_Toc144907549"/>
      <w:r>
        <w:rPr>
          <w:rFonts w:hint="eastAsia" w:ascii="仿宋" w:hAnsi="仿宋" w:eastAsia="仿宋" w:cs="仿宋"/>
          <w:b w:val="0"/>
          <w:color w:val="auto"/>
          <w:sz w:val="24"/>
          <w:szCs w:val="24"/>
          <w:highlight w:val="none"/>
        </w:rPr>
        <w:t>3.5.8 对联合体参加磋商的其他资格要求见供应商资格。</w:t>
      </w:r>
      <w:bookmarkEnd w:id="394"/>
    </w:p>
    <w:p w14:paraId="30D5B6F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95" w:name="_Toc144907550"/>
      <w:r>
        <w:rPr>
          <w:rFonts w:hint="eastAsia" w:ascii="仿宋" w:hAnsi="仿宋" w:eastAsia="仿宋" w:cs="仿宋"/>
          <w:b w:val="0"/>
          <w:color w:val="auto"/>
          <w:sz w:val="24"/>
          <w:szCs w:val="24"/>
          <w:highlight w:val="none"/>
        </w:rPr>
        <w:t>3.6 单位负责人为同一人或者存在直接控股、管理关系的不同供应商，不得参加同一合同项下的政府采购活动。否则其相关响应文件将被认定为 响应无效。</w:t>
      </w:r>
      <w:bookmarkEnd w:id="395"/>
    </w:p>
    <w:p w14:paraId="6A78DA1D">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96" w:name="_Toc144907551"/>
      <w:r>
        <w:rPr>
          <w:rFonts w:hint="eastAsia" w:ascii="仿宋" w:hAnsi="仿宋" w:eastAsia="仿宋" w:cs="仿宋"/>
          <w:b w:val="0"/>
          <w:color w:val="auto"/>
          <w:sz w:val="24"/>
          <w:szCs w:val="24"/>
          <w:highlight w:val="none"/>
        </w:rPr>
        <w:t>3.7 为本项目提供过整体设计、规范编制或者项目管理、监理、检测等服务的供应商，不得再参加本项目上述服务以外的其他采购活动。否则其响应文件将被认定为 响应无效。</w:t>
      </w:r>
      <w:bookmarkEnd w:id="396"/>
    </w:p>
    <w:p w14:paraId="672A3003">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97" w:name="_Toc144907552"/>
      <w:r>
        <w:rPr>
          <w:rFonts w:hint="eastAsia" w:ascii="仿宋" w:hAnsi="仿宋" w:eastAsia="仿宋" w:cs="仿宋"/>
          <w:b w:val="0"/>
          <w:color w:val="auto"/>
          <w:sz w:val="24"/>
          <w:szCs w:val="24"/>
          <w:highlight w:val="none"/>
        </w:rPr>
        <w:t>4 资金来源</w:t>
      </w:r>
      <w:bookmarkEnd w:id="397"/>
    </w:p>
    <w:p w14:paraId="17C319F1">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98" w:name="_Toc144907553"/>
      <w:r>
        <w:rPr>
          <w:rFonts w:hint="eastAsia" w:ascii="仿宋" w:hAnsi="仿宋" w:eastAsia="仿宋" w:cs="仿宋"/>
          <w:b w:val="0"/>
          <w:color w:val="auto"/>
          <w:sz w:val="24"/>
          <w:szCs w:val="24"/>
          <w:highlight w:val="none"/>
        </w:rPr>
        <w:t>4.1 本项目的采购人已获得足以支付本次磋商后所签订的合同项下的资金。</w:t>
      </w:r>
      <w:bookmarkEnd w:id="398"/>
    </w:p>
    <w:p w14:paraId="391AF5B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399" w:name="_Toc144907554"/>
      <w:r>
        <w:rPr>
          <w:rFonts w:hint="eastAsia" w:ascii="仿宋" w:hAnsi="仿宋" w:eastAsia="仿宋" w:cs="仿宋"/>
          <w:b w:val="0"/>
          <w:color w:val="auto"/>
          <w:sz w:val="24"/>
          <w:szCs w:val="24"/>
          <w:highlight w:val="none"/>
        </w:rPr>
        <w:t>4.2 项目预算金额或分项（或分包）预算金额见磋商公告（磋商邀请）。</w:t>
      </w:r>
      <w:bookmarkEnd w:id="399"/>
    </w:p>
    <w:p w14:paraId="735C524F">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00" w:name="_Toc144907555"/>
      <w:r>
        <w:rPr>
          <w:rFonts w:hint="eastAsia" w:ascii="仿宋" w:hAnsi="仿宋" w:eastAsia="仿宋" w:cs="仿宋"/>
          <w:b w:val="0"/>
          <w:color w:val="auto"/>
          <w:sz w:val="24"/>
          <w:szCs w:val="24"/>
          <w:highlight w:val="none"/>
        </w:rPr>
        <w:t>5 磋商费用</w:t>
      </w:r>
      <w:bookmarkEnd w:id="400"/>
    </w:p>
    <w:p w14:paraId="602B1188">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01" w:name="_Toc144907556"/>
      <w:r>
        <w:rPr>
          <w:rFonts w:hint="eastAsia" w:ascii="仿宋" w:hAnsi="仿宋" w:eastAsia="仿宋" w:cs="仿宋"/>
          <w:b w:val="0"/>
          <w:color w:val="auto"/>
          <w:sz w:val="24"/>
          <w:szCs w:val="24"/>
          <w:highlight w:val="none"/>
        </w:rPr>
        <w:t>不论磋商的结果如何，供应商应承担其所有与准备和参加磋商有关的费用。</w:t>
      </w:r>
      <w:bookmarkEnd w:id="401"/>
    </w:p>
    <w:p w14:paraId="7E446F0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02" w:name="_Toc144907557"/>
      <w:r>
        <w:rPr>
          <w:rFonts w:hint="eastAsia" w:ascii="仿宋" w:hAnsi="仿宋" w:eastAsia="仿宋" w:cs="仿宋"/>
          <w:b w:val="0"/>
          <w:color w:val="auto"/>
          <w:sz w:val="24"/>
          <w:szCs w:val="24"/>
          <w:highlight w:val="none"/>
        </w:rPr>
        <w:t>6 适用法律</w:t>
      </w:r>
      <w:bookmarkEnd w:id="402"/>
    </w:p>
    <w:p w14:paraId="32913584">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03" w:name="_Toc144907558"/>
      <w:r>
        <w:rPr>
          <w:rFonts w:hint="eastAsia" w:ascii="仿宋" w:hAnsi="仿宋" w:eastAsia="仿宋" w:cs="仿宋"/>
          <w:b w:val="0"/>
          <w:color w:val="auto"/>
          <w:sz w:val="24"/>
          <w:szCs w:val="24"/>
          <w:highlight w:val="none"/>
        </w:rPr>
        <w:t>本项目采购人、采购代理机构、供应商、磋商小组的相关行为均受《中华人民共和国政府采购法》、《中华人民共和国政府采购法实施条例》及本项目本级和上级财政部门、政府采购监督管理部门的政府采购有关规定的约束，其权利受到上述法律法规的保护。</w:t>
      </w:r>
      <w:bookmarkEnd w:id="403"/>
    </w:p>
    <w:p w14:paraId="3587D16B">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04" w:name="_Toc144907559"/>
      <w:r>
        <w:rPr>
          <w:rFonts w:hint="eastAsia" w:ascii="仿宋" w:hAnsi="仿宋" w:eastAsia="仿宋" w:cs="仿宋"/>
          <w:b w:val="0"/>
          <w:color w:val="auto"/>
          <w:sz w:val="24"/>
          <w:szCs w:val="24"/>
          <w:highlight w:val="none"/>
        </w:rPr>
        <w:t>7  磋商文件构成</w:t>
      </w:r>
      <w:bookmarkEnd w:id="404"/>
    </w:p>
    <w:p w14:paraId="11955A3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05" w:name="_Toc144907560"/>
      <w:r>
        <w:rPr>
          <w:rFonts w:hint="eastAsia" w:ascii="仿宋" w:hAnsi="仿宋" w:eastAsia="仿宋" w:cs="仿宋"/>
          <w:b w:val="0"/>
          <w:color w:val="auto"/>
          <w:sz w:val="24"/>
          <w:szCs w:val="24"/>
          <w:highlight w:val="none"/>
        </w:rPr>
        <w:t>7.1 磋商文件包括下列内容：</w:t>
      </w:r>
      <w:bookmarkEnd w:id="405"/>
    </w:p>
    <w:p w14:paraId="23B87365">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06" w:name="_Toc144907561"/>
      <w:r>
        <w:rPr>
          <w:rFonts w:hint="eastAsia" w:ascii="仿宋" w:hAnsi="仿宋" w:eastAsia="仿宋" w:cs="仿宋"/>
          <w:b w:val="0"/>
          <w:color w:val="auto"/>
          <w:sz w:val="24"/>
          <w:szCs w:val="24"/>
          <w:highlight w:val="none"/>
        </w:rPr>
        <w:t>第一章 竞争性磋商公告</w:t>
      </w:r>
      <w:bookmarkEnd w:id="406"/>
    </w:p>
    <w:p w14:paraId="7FF58FDA">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07" w:name="_Toc144907562"/>
      <w:r>
        <w:rPr>
          <w:rFonts w:hint="eastAsia" w:ascii="仿宋" w:hAnsi="仿宋" w:eastAsia="仿宋" w:cs="仿宋"/>
          <w:b w:val="0"/>
          <w:color w:val="auto"/>
          <w:sz w:val="24"/>
          <w:szCs w:val="24"/>
          <w:highlight w:val="none"/>
        </w:rPr>
        <w:t>第二章 供应商须知前附表</w:t>
      </w:r>
      <w:bookmarkEnd w:id="407"/>
    </w:p>
    <w:p w14:paraId="12EFF027">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08" w:name="_Toc144907563"/>
      <w:r>
        <w:rPr>
          <w:rFonts w:hint="eastAsia" w:ascii="仿宋" w:hAnsi="仿宋" w:eastAsia="仿宋" w:cs="仿宋"/>
          <w:b w:val="0"/>
          <w:color w:val="auto"/>
          <w:sz w:val="24"/>
          <w:szCs w:val="24"/>
          <w:highlight w:val="none"/>
        </w:rPr>
        <w:t>第三章 供应商须知</w:t>
      </w:r>
      <w:bookmarkEnd w:id="408"/>
    </w:p>
    <w:p w14:paraId="04E32A2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09" w:name="_Toc144907564"/>
      <w:r>
        <w:rPr>
          <w:rFonts w:hint="eastAsia" w:ascii="仿宋" w:hAnsi="仿宋" w:eastAsia="仿宋" w:cs="仿宋"/>
          <w:b w:val="0"/>
          <w:color w:val="auto"/>
          <w:sz w:val="24"/>
          <w:szCs w:val="24"/>
          <w:highlight w:val="none"/>
        </w:rPr>
        <w:t>第四章 采购需求</w:t>
      </w:r>
      <w:bookmarkEnd w:id="409"/>
    </w:p>
    <w:p w14:paraId="573F627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10" w:name="_Toc144907565"/>
      <w:r>
        <w:rPr>
          <w:rFonts w:hint="eastAsia" w:ascii="仿宋" w:hAnsi="仿宋" w:eastAsia="仿宋" w:cs="仿宋"/>
          <w:b w:val="0"/>
          <w:color w:val="auto"/>
          <w:sz w:val="24"/>
          <w:szCs w:val="24"/>
          <w:highlight w:val="none"/>
        </w:rPr>
        <w:t>第五章 评审方法和标准</w:t>
      </w:r>
      <w:bookmarkEnd w:id="410"/>
    </w:p>
    <w:p w14:paraId="3EB8D8A4">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11" w:name="_Toc144907566"/>
      <w:r>
        <w:rPr>
          <w:rFonts w:hint="eastAsia" w:ascii="仿宋" w:hAnsi="仿宋" w:eastAsia="仿宋" w:cs="仿宋"/>
          <w:b w:val="0"/>
          <w:color w:val="auto"/>
          <w:sz w:val="24"/>
          <w:szCs w:val="24"/>
          <w:highlight w:val="none"/>
        </w:rPr>
        <w:t>第六章 政府采购合同</w:t>
      </w:r>
      <w:bookmarkEnd w:id="411"/>
    </w:p>
    <w:p w14:paraId="59A4CD3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12" w:name="_Toc144907567"/>
      <w:r>
        <w:rPr>
          <w:rFonts w:hint="eastAsia" w:ascii="仿宋" w:hAnsi="仿宋" w:eastAsia="仿宋" w:cs="仿宋"/>
          <w:b w:val="0"/>
          <w:color w:val="auto"/>
          <w:sz w:val="24"/>
          <w:szCs w:val="24"/>
          <w:highlight w:val="none"/>
        </w:rPr>
        <w:t>第七章 磋商响应文件格式</w:t>
      </w:r>
      <w:bookmarkEnd w:id="412"/>
    </w:p>
    <w:p w14:paraId="043880C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13" w:name="_Toc144907568"/>
      <w:r>
        <w:rPr>
          <w:rFonts w:hint="eastAsia" w:ascii="仿宋" w:hAnsi="仿宋" w:eastAsia="仿宋" w:cs="仿宋"/>
          <w:b w:val="0"/>
          <w:color w:val="auto"/>
          <w:sz w:val="24"/>
          <w:szCs w:val="24"/>
          <w:highlight w:val="none"/>
        </w:rPr>
        <w:t>第八章 最终报价或第  次报价表</w:t>
      </w:r>
      <w:bookmarkEnd w:id="413"/>
    </w:p>
    <w:p w14:paraId="6659386F">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14" w:name="_Toc144907569"/>
      <w:r>
        <w:rPr>
          <w:rFonts w:hint="eastAsia" w:ascii="仿宋" w:hAnsi="仿宋" w:eastAsia="仿宋" w:cs="仿宋"/>
          <w:b w:val="0"/>
          <w:color w:val="auto"/>
          <w:sz w:val="24"/>
          <w:szCs w:val="24"/>
          <w:highlight w:val="none"/>
        </w:rPr>
        <w:t>7.2 磋商文件中有不一致的，有澄清的部分以最终的澄清更正内容为准。</w:t>
      </w:r>
      <w:bookmarkEnd w:id="414"/>
    </w:p>
    <w:p w14:paraId="4229968C">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15" w:name="_Toc144907570"/>
      <w:r>
        <w:rPr>
          <w:rFonts w:hint="eastAsia" w:ascii="仿宋" w:hAnsi="仿宋" w:eastAsia="仿宋" w:cs="仿宋"/>
          <w:b w:val="0"/>
          <w:color w:val="auto"/>
          <w:sz w:val="24"/>
          <w:szCs w:val="24"/>
          <w:highlight w:val="none"/>
        </w:rPr>
        <w:t>7.3 现场考察及相关事项见供应商须知前附表。</w:t>
      </w:r>
      <w:bookmarkEnd w:id="415"/>
    </w:p>
    <w:p w14:paraId="2B3AF695">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16" w:name="_Toc144907571"/>
      <w:r>
        <w:rPr>
          <w:rFonts w:hint="eastAsia" w:ascii="仿宋" w:hAnsi="仿宋" w:eastAsia="仿宋" w:cs="仿宋"/>
          <w:b w:val="0"/>
          <w:color w:val="auto"/>
          <w:sz w:val="24"/>
          <w:szCs w:val="24"/>
          <w:highlight w:val="none"/>
        </w:rPr>
        <w:t>7.4 供应商应认真阅读磋商文件所有的事项、格式、条款和技术规范等。</w:t>
      </w:r>
      <w:bookmarkEnd w:id="416"/>
    </w:p>
    <w:p w14:paraId="2583CEC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17" w:name="_Toc144907572"/>
      <w:r>
        <w:rPr>
          <w:rFonts w:hint="eastAsia" w:ascii="仿宋" w:hAnsi="仿宋" w:eastAsia="仿宋" w:cs="仿宋"/>
          <w:b w:val="0"/>
          <w:color w:val="auto"/>
          <w:sz w:val="24"/>
          <w:szCs w:val="24"/>
          <w:highlight w:val="none"/>
        </w:rPr>
        <w:t>8 磋商文件的澄清与修改</w:t>
      </w:r>
      <w:bookmarkEnd w:id="417"/>
    </w:p>
    <w:p w14:paraId="78C78CF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18" w:name="_Toc144907573"/>
      <w:r>
        <w:rPr>
          <w:rFonts w:hint="eastAsia" w:ascii="仿宋" w:hAnsi="仿宋" w:eastAsia="仿宋" w:cs="仿宋"/>
          <w:b w:val="0"/>
          <w:color w:val="auto"/>
          <w:sz w:val="24"/>
          <w:szCs w:val="24"/>
          <w:highlight w:val="none"/>
        </w:rPr>
        <w:t>8.1 供应商如对磋商文件内容有疑问，必须在供应商须知前附表规定的截止时间前以</w:t>
      </w:r>
      <w:r>
        <w:rPr>
          <w:rFonts w:hint="eastAsia" w:ascii="仿宋" w:hAnsi="仿宋" w:eastAsia="仿宋" w:cs="仿宋"/>
          <w:b w:val="0"/>
          <w:color w:val="auto"/>
          <w:sz w:val="24"/>
          <w:szCs w:val="24"/>
          <w:highlight w:val="none"/>
          <w:lang w:eastAsia="zh-CN"/>
        </w:rPr>
        <w:t>盖章的书面</w:t>
      </w:r>
      <w:r>
        <w:rPr>
          <w:rFonts w:hint="eastAsia" w:ascii="仿宋" w:hAnsi="仿宋" w:eastAsia="仿宋" w:cs="仿宋"/>
          <w:b w:val="0"/>
          <w:color w:val="auto"/>
          <w:sz w:val="24"/>
          <w:szCs w:val="24"/>
          <w:highlight w:val="none"/>
        </w:rPr>
        <w:t>形式提交给采购代理机构。</w:t>
      </w:r>
      <w:bookmarkEnd w:id="418"/>
    </w:p>
    <w:p w14:paraId="7D39BA5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19" w:name="_Toc144907574"/>
      <w:r>
        <w:rPr>
          <w:rFonts w:hint="eastAsia" w:ascii="仿宋" w:hAnsi="仿宋" w:eastAsia="仿宋" w:cs="仿宋"/>
          <w:b w:val="0"/>
          <w:color w:val="auto"/>
          <w:sz w:val="24"/>
          <w:szCs w:val="24"/>
          <w:highlight w:val="none"/>
        </w:rPr>
        <w:t>8.2采购人可主动或在解答供应商提出的问题时对磋商文件进行澄清或者修改。采购代理机构将以发布公告的方式澄清或者修改磋商文件，澄清或修改的内容作为磋商文件的组成部分，对供应商起约束作用。供应商应主动上网查询。采购代理机构不承担供应商未及时关注相关信息引发的相关责任。</w:t>
      </w:r>
      <w:bookmarkEnd w:id="419"/>
    </w:p>
    <w:p w14:paraId="2B3CFBF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20" w:name="_Toc144907575"/>
      <w:r>
        <w:rPr>
          <w:rFonts w:hint="eastAsia" w:ascii="仿宋" w:hAnsi="仿宋" w:eastAsia="仿宋" w:cs="仿宋"/>
          <w:b w:val="0"/>
          <w:color w:val="auto"/>
          <w:sz w:val="24"/>
          <w:szCs w:val="24"/>
          <w:highlight w:val="none"/>
        </w:rPr>
        <w:t>8.3 任何人或任何组织向供应商提供的任何书面或口头资料，未经采购代理机构在网上发布或书面通知，均作无效处理，不得作为磋商文件的组成部分。采购代理机构对供应商由此而做出的推论、理解和结论概不负责。</w:t>
      </w:r>
      <w:bookmarkEnd w:id="420"/>
    </w:p>
    <w:p w14:paraId="0B119EFC">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21" w:name="_Toc144907576"/>
      <w:r>
        <w:rPr>
          <w:rFonts w:hint="eastAsia" w:ascii="仿宋" w:hAnsi="仿宋" w:eastAsia="仿宋" w:cs="仿宋"/>
          <w:b w:val="0"/>
          <w:color w:val="auto"/>
          <w:sz w:val="24"/>
          <w:szCs w:val="24"/>
          <w:highlight w:val="none"/>
        </w:rPr>
        <w:t>8.4对于没有提出询问又参与了本项目磋商的供应商将被视为完全认同本磋商文件（含澄清或修改的内容）。</w:t>
      </w:r>
      <w:bookmarkEnd w:id="421"/>
    </w:p>
    <w:p w14:paraId="2AF5A1A5">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22" w:name="_Toc144907577"/>
      <w:r>
        <w:rPr>
          <w:rFonts w:hint="eastAsia" w:ascii="仿宋" w:hAnsi="仿宋" w:eastAsia="仿宋" w:cs="仿宋"/>
          <w:b w:val="0"/>
          <w:color w:val="auto"/>
          <w:sz w:val="24"/>
          <w:szCs w:val="24"/>
          <w:highlight w:val="none"/>
        </w:rPr>
        <w:t>9 磋商范围及响应文件中标准和计量单位的使用</w:t>
      </w:r>
      <w:bookmarkEnd w:id="422"/>
    </w:p>
    <w:p w14:paraId="4930D08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23" w:name="_Toc144907578"/>
      <w:r>
        <w:rPr>
          <w:rFonts w:hint="eastAsia" w:ascii="仿宋" w:hAnsi="仿宋" w:eastAsia="仿宋" w:cs="仿宋"/>
          <w:b w:val="0"/>
          <w:color w:val="auto"/>
          <w:sz w:val="24"/>
          <w:szCs w:val="24"/>
          <w:highlight w:val="none"/>
        </w:rPr>
        <w:t>9.1 项目有分包的，供应商可参与其中某一个或多个分包的磋商，成交包数详见供应商须知前附表中规定。</w:t>
      </w:r>
      <w:bookmarkEnd w:id="423"/>
    </w:p>
    <w:p w14:paraId="671630C8">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24" w:name="_Toc144907579"/>
      <w:r>
        <w:rPr>
          <w:rFonts w:hint="eastAsia" w:ascii="仿宋" w:hAnsi="仿宋" w:eastAsia="仿宋" w:cs="仿宋"/>
          <w:b w:val="0"/>
          <w:color w:val="auto"/>
          <w:sz w:val="24"/>
          <w:szCs w:val="24"/>
          <w:highlight w:val="none"/>
        </w:rPr>
        <w:t>9.2 无论磋商文件中是否要求，供应商所投服务及伴随的货物和工程均应符合国家强制性标准。</w:t>
      </w:r>
      <w:bookmarkEnd w:id="424"/>
    </w:p>
    <w:p w14:paraId="7D57116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25" w:name="_Toc144907580"/>
      <w:r>
        <w:rPr>
          <w:rFonts w:hint="eastAsia" w:ascii="仿宋" w:hAnsi="仿宋" w:eastAsia="仿宋" w:cs="仿宋"/>
          <w:b w:val="0"/>
          <w:color w:val="auto"/>
          <w:sz w:val="24"/>
          <w:szCs w:val="24"/>
          <w:highlight w:val="none"/>
        </w:rPr>
        <w:t>9.3 供应商与采购代理机构之间与磋商有关的所有往来通知、函件和响应文件均用中文表述。供应商随响应文件提供的证明文件和资料可以为其它语言，</w:t>
      </w:r>
      <w:bookmarkEnd w:id="425"/>
    </w:p>
    <w:p w14:paraId="25D6C198">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26" w:name="_Toc144907581"/>
      <w:r>
        <w:rPr>
          <w:rFonts w:hint="eastAsia" w:ascii="仿宋" w:hAnsi="仿宋" w:eastAsia="仿宋" w:cs="仿宋"/>
          <w:b w:val="0"/>
          <w:color w:val="auto"/>
          <w:sz w:val="24"/>
          <w:szCs w:val="24"/>
          <w:highlight w:val="none"/>
        </w:rPr>
        <w:t>但必须附中文译文。翻译的中文资料与外文资料如果出现差异时，以中文为准。</w:t>
      </w:r>
      <w:bookmarkEnd w:id="426"/>
    </w:p>
    <w:p w14:paraId="62082316">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27" w:name="_Toc144907582"/>
      <w:r>
        <w:rPr>
          <w:rFonts w:hint="eastAsia" w:ascii="仿宋" w:hAnsi="仿宋" w:eastAsia="仿宋" w:cs="仿宋"/>
          <w:b w:val="0"/>
          <w:color w:val="auto"/>
          <w:sz w:val="24"/>
          <w:szCs w:val="24"/>
          <w:highlight w:val="none"/>
        </w:rPr>
        <w:t>9.4 除磋商文件中有特殊要求外，响应文件中所使用的计量单位，应采用中华人民共和国法定计量单位。</w:t>
      </w:r>
      <w:bookmarkEnd w:id="427"/>
    </w:p>
    <w:p w14:paraId="055F553B">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28" w:name="_Toc144907583"/>
      <w:r>
        <w:rPr>
          <w:rFonts w:hint="eastAsia" w:ascii="仿宋" w:hAnsi="仿宋" w:eastAsia="仿宋" w:cs="仿宋"/>
          <w:b w:val="0"/>
          <w:color w:val="auto"/>
          <w:sz w:val="24"/>
          <w:szCs w:val="24"/>
          <w:highlight w:val="none"/>
        </w:rPr>
        <w:t>10 响应文件构成</w:t>
      </w:r>
      <w:bookmarkEnd w:id="428"/>
    </w:p>
    <w:p w14:paraId="4964AE81">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29" w:name="_Toc144907584"/>
      <w:r>
        <w:rPr>
          <w:rFonts w:hint="eastAsia" w:ascii="仿宋" w:hAnsi="仿宋" w:eastAsia="仿宋" w:cs="仿宋"/>
          <w:b w:val="0"/>
          <w:color w:val="auto"/>
          <w:sz w:val="24"/>
          <w:szCs w:val="24"/>
          <w:highlight w:val="none"/>
        </w:rPr>
        <w:t>10.1供应商应完整地按磋商文件提供的响应文件格式及要求编写响应文件，具体内容详见第</w:t>
      </w:r>
      <w:r>
        <w:rPr>
          <w:rFonts w:hint="eastAsia" w:ascii="仿宋" w:hAnsi="仿宋" w:eastAsia="仿宋" w:cs="仿宋"/>
          <w:b w:val="0"/>
          <w:color w:val="auto"/>
          <w:sz w:val="24"/>
          <w:szCs w:val="24"/>
          <w:highlight w:val="none"/>
          <w:lang w:eastAsia="zh-CN"/>
        </w:rPr>
        <w:t>七</w:t>
      </w:r>
      <w:r>
        <w:rPr>
          <w:rFonts w:hint="eastAsia" w:ascii="仿宋" w:hAnsi="仿宋" w:eastAsia="仿宋" w:cs="仿宋"/>
          <w:b w:val="0"/>
          <w:color w:val="auto"/>
          <w:sz w:val="24"/>
          <w:szCs w:val="24"/>
          <w:highlight w:val="none"/>
        </w:rPr>
        <w:t>章响应文件格式的相关内容。</w:t>
      </w:r>
      <w:bookmarkEnd w:id="429"/>
    </w:p>
    <w:p w14:paraId="6FE2416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30" w:name="_Toc144907585"/>
      <w:r>
        <w:rPr>
          <w:rFonts w:hint="eastAsia" w:ascii="仿宋" w:hAnsi="仿宋" w:eastAsia="仿宋" w:cs="仿宋"/>
          <w:b w:val="0"/>
          <w:color w:val="auto"/>
          <w:sz w:val="24"/>
          <w:szCs w:val="24"/>
          <w:highlight w:val="none"/>
        </w:rPr>
        <w:t>10.2 上述文件应按照磋商文件规定的格式填写、签署和盖章。</w:t>
      </w:r>
      <w:bookmarkEnd w:id="430"/>
    </w:p>
    <w:p w14:paraId="4C8DFE1C">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31" w:name="_Toc144907586"/>
      <w:r>
        <w:rPr>
          <w:rFonts w:hint="eastAsia" w:ascii="仿宋" w:hAnsi="仿宋" w:eastAsia="仿宋" w:cs="仿宋"/>
          <w:b w:val="0"/>
          <w:color w:val="auto"/>
          <w:sz w:val="24"/>
          <w:szCs w:val="24"/>
          <w:highlight w:val="none"/>
        </w:rPr>
        <w:t>11 证明标的的合格性和符合磋商文件规定的响应文件</w:t>
      </w:r>
      <w:bookmarkEnd w:id="431"/>
    </w:p>
    <w:p w14:paraId="30F2C9EA">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32" w:name="_Toc144907587"/>
      <w:r>
        <w:rPr>
          <w:rFonts w:hint="eastAsia" w:ascii="仿宋" w:hAnsi="仿宋" w:eastAsia="仿宋" w:cs="仿宋"/>
          <w:b w:val="0"/>
          <w:color w:val="auto"/>
          <w:sz w:val="24"/>
          <w:szCs w:val="24"/>
          <w:highlight w:val="none"/>
        </w:rPr>
        <w:t>11.1 供应商应提交磋商文件要求的证明文件，证明其响应内容符合磋商文件规定。该证明文件是响应文件的一部分。</w:t>
      </w:r>
      <w:bookmarkEnd w:id="432"/>
    </w:p>
    <w:p w14:paraId="3499FB61">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33" w:name="_Toc144907588"/>
      <w:r>
        <w:rPr>
          <w:rFonts w:hint="eastAsia" w:ascii="仿宋" w:hAnsi="仿宋" w:eastAsia="仿宋" w:cs="仿宋"/>
          <w:b w:val="0"/>
          <w:color w:val="auto"/>
          <w:sz w:val="24"/>
          <w:szCs w:val="24"/>
          <w:highlight w:val="none"/>
        </w:rPr>
        <w:t>11.2 上款所述的证明文件，可以是文字资料、图纸和数据。</w:t>
      </w:r>
      <w:bookmarkEnd w:id="433"/>
    </w:p>
    <w:p w14:paraId="2CD4AD0B">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34" w:name="_Toc144907589"/>
      <w:r>
        <w:rPr>
          <w:rFonts w:hint="eastAsia" w:ascii="仿宋" w:hAnsi="仿宋" w:eastAsia="仿宋" w:cs="仿宋"/>
          <w:b w:val="0"/>
          <w:color w:val="auto"/>
          <w:sz w:val="24"/>
          <w:szCs w:val="24"/>
          <w:highlight w:val="none"/>
        </w:rPr>
        <w:t>11.3 本条所指证明文件不包括对磋商文件相关部分的文字、图标的复制。</w:t>
      </w:r>
      <w:bookmarkEnd w:id="434"/>
    </w:p>
    <w:p w14:paraId="0616F59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35" w:name="_Toc144907590"/>
      <w:r>
        <w:rPr>
          <w:rFonts w:hint="eastAsia" w:ascii="仿宋" w:hAnsi="仿宋" w:eastAsia="仿宋" w:cs="仿宋"/>
          <w:b w:val="0"/>
          <w:color w:val="auto"/>
          <w:sz w:val="24"/>
          <w:szCs w:val="24"/>
          <w:highlight w:val="none"/>
        </w:rPr>
        <w:t>11.4 为保证公平公正，除非另有规定或说明，供应商对同一项目磋商时，不得同时提供备选磋商方案。</w:t>
      </w:r>
      <w:bookmarkEnd w:id="435"/>
    </w:p>
    <w:p w14:paraId="6471261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36" w:name="_Toc144907591"/>
      <w:r>
        <w:rPr>
          <w:rFonts w:hint="eastAsia" w:ascii="仿宋" w:hAnsi="仿宋" w:eastAsia="仿宋" w:cs="仿宋"/>
          <w:b w:val="0"/>
          <w:color w:val="auto"/>
          <w:sz w:val="24"/>
          <w:szCs w:val="24"/>
          <w:highlight w:val="none"/>
        </w:rPr>
        <w:t>12 报价</w:t>
      </w:r>
      <w:bookmarkEnd w:id="436"/>
    </w:p>
    <w:p w14:paraId="66104974">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37" w:name="_Toc144907592"/>
      <w:r>
        <w:rPr>
          <w:rFonts w:hint="eastAsia" w:ascii="仿宋" w:hAnsi="仿宋" w:eastAsia="仿宋" w:cs="仿宋"/>
          <w:b w:val="0"/>
          <w:color w:val="auto"/>
          <w:sz w:val="24"/>
          <w:szCs w:val="24"/>
          <w:highlight w:val="none"/>
        </w:rPr>
        <w:t>12.1 供应商的报价应当包括满足本次磋商全部采购需求所应提供的服务，以及伴随的货物和工程。所有内容均应以人民币报价，供应商的磋商报价应遵守《中华人民共和国价格法》。</w:t>
      </w:r>
      <w:bookmarkEnd w:id="437"/>
    </w:p>
    <w:p w14:paraId="69B721F6">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38" w:name="_Toc144907593"/>
      <w:r>
        <w:rPr>
          <w:rFonts w:hint="eastAsia" w:ascii="仿宋" w:hAnsi="仿宋" w:eastAsia="仿宋" w:cs="仿宋"/>
          <w:b w:val="0"/>
          <w:color w:val="auto"/>
          <w:sz w:val="24"/>
          <w:szCs w:val="24"/>
          <w:highlight w:val="none"/>
        </w:rPr>
        <w:t>12.2 供应商应在分项报价表上标明分项服务、伴随的货物和工程的价格（如适用）和总价，未标明的视同包含在磋商报价中。</w:t>
      </w:r>
      <w:bookmarkEnd w:id="438"/>
    </w:p>
    <w:p w14:paraId="233FC67A">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39" w:name="_Toc144907594"/>
      <w:r>
        <w:rPr>
          <w:rFonts w:hint="eastAsia" w:ascii="仿宋" w:hAnsi="仿宋" w:eastAsia="仿宋" w:cs="仿宋"/>
          <w:b w:val="0"/>
          <w:color w:val="auto"/>
          <w:sz w:val="24"/>
          <w:szCs w:val="24"/>
          <w:highlight w:val="none"/>
        </w:rPr>
        <w:t>12.3 除非磋商文件另有规定或经采购人同意支付的，最后报价均不得高于磋商文件（公告）列明的项目预算，否则其响应文件将被认定为响应无效。</w:t>
      </w:r>
      <w:bookmarkEnd w:id="439"/>
    </w:p>
    <w:p w14:paraId="3322BCF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40" w:name="_Toc144907595"/>
      <w:r>
        <w:rPr>
          <w:rFonts w:hint="eastAsia" w:ascii="仿宋" w:hAnsi="仿宋" w:eastAsia="仿宋" w:cs="仿宋"/>
          <w:b w:val="0"/>
          <w:color w:val="auto"/>
          <w:sz w:val="24"/>
          <w:szCs w:val="24"/>
          <w:highlight w:val="none"/>
        </w:rPr>
        <w:t>12.4 报价在合同履行过程中是固定不变的，不得以任何理由予以变更。任何包含价格调整要求的磋商，其响应文件将被认定为响应无效。</w:t>
      </w:r>
      <w:bookmarkEnd w:id="440"/>
    </w:p>
    <w:p w14:paraId="6E1B66A8">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41" w:name="_Toc144907596"/>
      <w:r>
        <w:rPr>
          <w:rFonts w:hint="eastAsia" w:ascii="仿宋" w:hAnsi="仿宋" w:eastAsia="仿宋" w:cs="仿宋"/>
          <w:b w:val="0"/>
          <w:color w:val="auto"/>
          <w:sz w:val="24"/>
          <w:szCs w:val="24"/>
          <w:highlight w:val="none"/>
        </w:rPr>
        <w:t>12.5 采购人不接受具有附加条件的报价。</w:t>
      </w:r>
      <w:bookmarkEnd w:id="441"/>
    </w:p>
    <w:p w14:paraId="5490027F">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42" w:name="_Toc144907597"/>
      <w:r>
        <w:rPr>
          <w:rFonts w:hint="eastAsia" w:ascii="仿宋" w:hAnsi="仿宋" w:eastAsia="仿宋" w:cs="仿宋"/>
          <w:b w:val="0"/>
          <w:color w:val="auto"/>
          <w:sz w:val="24"/>
          <w:szCs w:val="24"/>
          <w:highlight w:val="none"/>
        </w:rPr>
        <w:t>13 磋商保证金（如有）</w:t>
      </w:r>
      <w:bookmarkEnd w:id="442"/>
    </w:p>
    <w:p w14:paraId="7699BCA5">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43" w:name="_Toc144907598"/>
      <w:r>
        <w:rPr>
          <w:rFonts w:hint="eastAsia" w:ascii="仿宋" w:hAnsi="仿宋" w:eastAsia="仿宋" w:cs="仿宋"/>
          <w:b w:val="0"/>
          <w:color w:val="auto"/>
          <w:sz w:val="24"/>
          <w:szCs w:val="24"/>
          <w:highlight w:val="none"/>
        </w:rPr>
        <w:t>13.1 供应商应提交供应商须知前附表中规定的磋商保证金，并作为其响应文件的一部分。供应商未按规定提交磋商保证金的，其响应文件将被认定为响应无效。</w:t>
      </w:r>
      <w:bookmarkEnd w:id="443"/>
    </w:p>
    <w:p w14:paraId="725B9E98">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44" w:name="_Toc144907599"/>
      <w:r>
        <w:rPr>
          <w:rFonts w:hint="eastAsia" w:ascii="仿宋" w:hAnsi="仿宋" w:eastAsia="仿宋" w:cs="仿宋"/>
          <w:b w:val="0"/>
          <w:color w:val="auto"/>
          <w:sz w:val="24"/>
          <w:szCs w:val="24"/>
          <w:highlight w:val="none"/>
        </w:rPr>
        <w:t>13.2 供应商请注意：</w:t>
      </w:r>
      <w:bookmarkEnd w:id="444"/>
    </w:p>
    <w:p w14:paraId="3DA9EE4D">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45" w:name="_Toc144907600"/>
      <w:r>
        <w:rPr>
          <w:rFonts w:hint="eastAsia" w:ascii="仿宋" w:hAnsi="仿宋" w:eastAsia="仿宋" w:cs="仿宋"/>
          <w:b w:val="0"/>
          <w:color w:val="auto"/>
          <w:sz w:val="24"/>
          <w:szCs w:val="24"/>
          <w:highlight w:val="none"/>
        </w:rPr>
        <w:t>（1）前次采购失败的，采购代理机构将退还供应商的磋商保证金。</w:t>
      </w:r>
      <w:bookmarkEnd w:id="445"/>
    </w:p>
    <w:p w14:paraId="157F0A7B">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46" w:name="_Toc144907601"/>
      <w:r>
        <w:rPr>
          <w:rFonts w:hint="eastAsia" w:ascii="仿宋" w:hAnsi="仿宋" w:eastAsia="仿宋" w:cs="仿宋"/>
          <w:b w:val="0"/>
          <w:color w:val="auto"/>
          <w:sz w:val="24"/>
          <w:szCs w:val="24"/>
          <w:highlight w:val="none"/>
        </w:rPr>
        <w:t>（2）项目采购失败后，磋商保证金缴纳账号将会发生变化，请供应商参与后续采购时，注意勿将磋商保证金错交至其他项目账号或前次公告账号。</w:t>
      </w:r>
      <w:bookmarkEnd w:id="446"/>
    </w:p>
    <w:p w14:paraId="2DAD3C3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47" w:name="_Toc144907602"/>
      <w:r>
        <w:rPr>
          <w:rFonts w:hint="eastAsia" w:ascii="仿宋" w:hAnsi="仿宋" w:eastAsia="仿宋" w:cs="仿宋"/>
          <w:b w:val="0"/>
          <w:color w:val="auto"/>
          <w:sz w:val="24"/>
          <w:szCs w:val="24"/>
          <w:highlight w:val="none"/>
        </w:rPr>
        <w:t>（3）凡转账到其他项目账号或本项目前次公告账号的，其响应文件将被认定为响应无效。</w:t>
      </w:r>
      <w:bookmarkEnd w:id="447"/>
    </w:p>
    <w:p w14:paraId="0BAAE3FD">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48" w:name="_Toc144907603"/>
      <w:r>
        <w:rPr>
          <w:rFonts w:hint="eastAsia" w:ascii="仿宋" w:hAnsi="仿宋" w:eastAsia="仿宋" w:cs="仿宋"/>
          <w:b w:val="0"/>
          <w:color w:val="auto"/>
          <w:sz w:val="24"/>
          <w:szCs w:val="24"/>
          <w:highlight w:val="none"/>
        </w:rPr>
        <w:t>13.3采购人不接收以现金或汇票形式递交的投标保证金。</w:t>
      </w:r>
      <w:bookmarkEnd w:id="448"/>
    </w:p>
    <w:p w14:paraId="02FC223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49" w:name="_Toc144907604"/>
      <w:r>
        <w:rPr>
          <w:rFonts w:hint="eastAsia" w:ascii="仿宋" w:hAnsi="仿宋" w:eastAsia="仿宋" w:cs="仿宋"/>
          <w:b w:val="0"/>
          <w:color w:val="auto"/>
          <w:sz w:val="24"/>
          <w:szCs w:val="24"/>
          <w:highlight w:val="none"/>
        </w:rPr>
        <w:t>13.4联合体参加磋商的，可以由联合体中的一方或者共同提交磋商保证金。以一方名义提交磋商保证金的，对联合体各方均具有约束力。</w:t>
      </w:r>
      <w:bookmarkEnd w:id="449"/>
    </w:p>
    <w:p w14:paraId="635D065F">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50" w:name="_Toc144907605"/>
      <w:r>
        <w:rPr>
          <w:rFonts w:hint="eastAsia" w:ascii="仿宋" w:hAnsi="仿宋" w:eastAsia="仿宋" w:cs="仿宋"/>
          <w:b w:val="0"/>
          <w:color w:val="auto"/>
          <w:sz w:val="24"/>
          <w:szCs w:val="24"/>
          <w:highlight w:val="none"/>
        </w:rPr>
        <w:t>13.5 采购代理机构将在成交通知书发出后五个工作日内退还未成交供应商的磋商保证金，在采购合同签订后五个工作日内退还成交供应商的磋商保证金；</w:t>
      </w:r>
      <w:bookmarkEnd w:id="450"/>
    </w:p>
    <w:p w14:paraId="5CD27512">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51" w:name="_Toc144907606"/>
      <w:r>
        <w:rPr>
          <w:rFonts w:hint="eastAsia" w:ascii="仿宋" w:hAnsi="仿宋" w:eastAsia="仿宋" w:cs="仿宋"/>
          <w:b w:val="0"/>
          <w:color w:val="auto"/>
          <w:sz w:val="24"/>
          <w:szCs w:val="24"/>
          <w:highlight w:val="none"/>
        </w:rPr>
        <w:t>13.6 因供应商自身原因导致无法及时退还的，采购人或采购代理机构将不承担相应责任。</w:t>
      </w:r>
      <w:bookmarkEnd w:id="451"/>
    </w:p>
    <w:p w14:paraId="7CCAA755">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52" w:name="_Toc144907607"/>
      <w:r>
        <w:rPr>
          <w:rFonts w:hint="eastAsia" w:ascii="仿宋" w:hAnsi="仿宋" w:eastAsia="仿宋" w:cs="仿宋"/>
          <w:b w:val="0"/>
          <w:color w:val="auto"/>
          <w:sz w:val="24"/>
          <w:szCs w:val="24"/>
          <w:highlight w:val="none"/>
        </w:rPr>
        <w:t>13.7 有下列情形之一的，磋商保证金不予退还：</w:t>
      </w:r>
      <w:bookmarkEnd w:id="452"/>
    </w:p>
    <w:p w14:paraId="0632BE52">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53" w:name="_Toc144907608"/>
      <w:r>
        <w:rPr>
          <w:rFonts w:hint="eastAsia" w:ascii="仿宋" w:hAnsi="仿宋" w:eastAsia="仿宋" w:cs="仿宋"/>
          <w:b w:val="0"/>
          <w:color w:val="auto"/>
          <w:sz w:val="24"/>
          <w:szCs w:val="24"/>
          <w:highlight w:val="none"/>
        </w:rPr>
        <w:t>（1）供应商在提交响应文件截止时间后撤回响应文件的；</w:t>
      </w:r>
      <w:bookmarkEnd w:id="453"/>
    </w:p>
    <w:p w14:paraId="207AEE61">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54" w:name="_Toc144907609"/>
      <w:r>
        <w:rPr>
          <w:rFonts w:hint="eastAsia" w:ascii="仿宋" w:hAnsi="仿宋" w:eastAsia="仿宋" w:cs="仿宋"/>
          <w:b w:val="0"/>
          <w:color w:val="auto"/>
          <w:sz w:val="24"/>
          <w:szCs w:val="24"/>
          <w:highlight w:val="none"/>
        </w:rPr>
        <w:t>（2）供应商在响应文件中提供虚假材料的；</w:t>
      </w:r>
      <w:bookmarkEnd w:id="454"/>
    </w:p>
    <w:p w14:paraId="6E7BE3C2">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55" w:name="_Toc144907610"/>
      <w:r>
        <w:rPr>
          <w:rFonts w:hint="eastAsia" w:ascii="仿宋" w:hAnsi="仿宋" w:eastAsia="仿宋" w:cs="仿宋"/>
          <w:b w:val="0"/>
          <w:color w:val="auto"/>
          <w:sz w:val="24"/>
          <w:szCs w:val="24"/>
          <w:highlight w:val="none"/>
        </w:rPr>
        <w:t>（3）除因不可抗力或磋商文件认可的情形以外，成交供应商放弃成交资格或不与采购人签订合同的；</w:t>
      </w:r>
      <w:bookmarkEnd w:id="455"/>
    </w:p>
    <w:p w14:paraId="3ED46FBC">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56" w:name="_Toc144907611"/>
      <w:r>
        <w:rPr>
          <w:rFonts w:hint="eastAsia" w:ascii="仿宋" w:hAnsi="仿宋" w:eastAsia="仿宋" w:cs="仿宋"/>
          <w:b w:val="0"/>
          <w:color w:val="auto"/>
          <w:sz w:val="24"/>
          <w:szCs w:val="24"/>
          <w:highlight w:val="none"/>
        </w:rPr>
        <w:t>（4）供应商与采购人、其他供应商或者采购代理机构恶意串通的；</w:t>
      </w:r>
      <w:bookmarkEnd w:id="456"/>
    </w:p>
    <w:p w14:paraId="4B78D8E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57" w:name="_Toc144907612"/>
      <w:r>
        <w:rPr>
          <w:rFonts w:hint="eastAsia" w:ascii="仿宋" w:hAnsi="仿宋" w:eastAsia="仿宋" w:cs="仿宋"/>
          <w:b w:val="0"/>
          <w:color w:val="auto"/>
          <w:sz w:val="24"/>
          <w:szCs w:val="24"/>
          <w:highlight w:val="none"/>
        </w:rPr>
        <w:t>（5）供应商须知前附表中规定的其他不予退还磋商保证金的情形。</w:t>
      </w:r>
      <w:bookmarkEnd w:id="457"/>
    </w:p>
    <w:p w14:paraId="44D45951">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58" w:name="_Toc144907613"/>
      <w:r>
        <w:rPr>
          <w:rFonts w:hint="eastAsia" w:ascii="仿宋" w:hAnsi="仿宋" w:eastAsia="仿宋" w:cs="仿宋"/>
          <w:b w:val="0"/>
          <w:color w:val="auto"/>
          <w:sz w:val="24"/>
          <w:szCs w:val="24"/>
          <w:highlight w:val="none"/>
        </w:rPr>
        <w:t>14 磋商有效期</w:t>
      </w:r>
      <w:bookmarkEnd w:id="458"/>
    </w:p>
    <w:p w14:paraId="079BCD37">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59" w:name="_Toc144907614"/>
      <w:r>
        <w:rPr>
          <w:rFonts w:hint="eastAsia" w:ascii="仿宋" w:hAnsi="仿宋" w:eastAsia="仿宋" w:cs="仿宋"/>
          <w:b w:val="0"/>
          <w:color w:val="auto"/>
          <w:sz w:val="24"/>
          <w:szCs w:val="24"/>
          <w:highlight w:val="none"/>
        </w:rPr>
        <w:t>14.1 磋商有效期为从响应文件提交截止之日算起的日历天数，磋商有效期详见供应商须知前附表。</w:t>
      </w:r>
      <w:bookmarkEnd w:id="459"/>
    </w:p>
    <w:p w14:paraId="13B5FFE7">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60" w:name="_Toc144907615"/>
      <w:r>
        <w:rPr>
          <w:rFonts w:hint="eastAsia" w:ascii="仿宋" w:hAnsi="仿宋" w:eastAsia="仿宋" w:cs="仿宋"/>
          <w:b w:val="0"/>
          <w:color w:val="auto"/>
          <w:sz w:val="24"/>
          <w:szCs w:val="24"/>
          <w:highlight w:val="none"/>
        </w:rPr>
        <w:t>14.2 在磋商有效期内，供应商的磋商保持有效，供应商不得要求撤销或修改其响应文件。磋商有效期不满足要求的响应，其响应文件将被认定为响应无效。</w:t>
      </w:r>
      <w:bookmarkEnd w:id="460"/>
    </w:p>
    <w:p w14:paraId="3028CB43">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61" w:name="_Toc144907616"/>
      <w:r>
        <w:rPr>
          <w:rFonts w:hint="eastAsia" w:ascii="仿宋" w:hAnsi="仿宋" w:eastAsia="仿宋" w:cs="仿宋"/>
          <w:b w:val="0"/>
          <w:color w:val="auto"/>
          <w:sz w:val="24"/>
          <w:szCs w:val="24"/>
          <w:highlight w:val="none"/>
        </w:rPr>
        <w:t>14.3为保证有充分时间签订合同，采购人或采购代理机构可根据实际情况，在原磋商有效期截止之前，要求供应商延长磋商有效期。接受该要求的供应商将不会被要求和允许修正其响应文件。供应商可以拒绝延长磋商有效期的要求，且不承担任何责任。上述要求和答复都应以书面形式提交。</w:t>
      </w:r>
      <w:bookmarkEnd w:id="461"/>
    </w:p>
    <w:p w14:paraId="263D61A4">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62" w:name="_Toc144907617"/>
      <w:r>
        <w:rPr>
          <w:rFonts w:hint="eastAsia" w:ascii="仿宋" w:hAnsi="仿宋" w:eastAsia="仿宋" w:cs="仿宋"/>
          <w:b w:val="0"/>
          <w:color w:val="auto"/>
          <w:sz w:val="24"/>
          <w:szCs w:val="24"/>
          <w:highlight w:val="none"/>
        </w:rPr>
        <w:t>15 响应文件的制作</w:t>
      </w:r>
      <w:bookmarkEnd w:id="462"/>
    </w:p>
    <w:p w14:paraId="5DFCC77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63" w:name="_Toc144907618"/>
      <w:bookmarkStart w:id="464" w:name="_Toc144907623"/>
      <w:r>
        <w:rPr>
          <w:rFonts w:hint="eastAsia" w:ascii="仿宋" w:hAnsi="仿宋" w:eastAsia="仿宋" w:cs="仿宋"/>
          <w:b w:val="0"/>
          <w:color w:val="auto"/>
          <w:sz w:val="24"/>
          <w:szCs w:val="24"/>
          <w:highlight w:val="none"/>
        </w:rPr>
        <w:t>15.1响应文件的制作应满足以下规定：</w:t>
      </w:r>
      <w:bookmarkEnd w:id="463"/>
    </w:p>
    <w:p w14:paraId="0FB4C483">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65" w:name="_Toc144907619"/>
      <w:bookmarkStart w:id="466" w:name="_Toc144907622"/>
      <w:r>
        <w:rPr>
          <w:rFonts w:hint="eastAsia" w:ascii="仿宋" w:hAnsi="仿宋" w:eastAsia="仿宋" w:cs="仿宋"/>
          <w:b w:val="0"/>
          <w:color w:val="auto"/>
          <w:sz w:val="24"/>
          <w:szCs w:val="24"/>
          <w:highlight w:val="none"/>
        </w:rPr>
        <w:t>（1）响应文件应编制连续页码，除特殊规格的图纸或方案、图片资料等外，均应按A4规格制作。</w:t>
      </w:r>
      <w:bookmarkEnd w:id="465"/>
    </w:p>
    <w:p w14:paraId="39CDF491">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67" w:name="_Toc144907620"/>
      <w:r>
        <w:rPr>
          <w:rFonts w:hint="eastAsia" w:ascii="仿宋" w:hAnsi="仿宋" w:eastAsia="仿宋" w:cs="仿宋"/>
          <w:b w:val="0"/>
          <w:color w:val="auto"/>
          <w:sz w:val="24"/>
          <w:szCs w:val="24"/>
          <w:highlight w:val="none"/>
        </w:rPr>
        <w:t>（2）在第七章“磋商响应文件格式”中要求加盖供应商签章处，供应商均应加盖供应商公章。联合体参加磋商的，除联合体协议及磋商文件规定须联合体各成员单位各自盖章的证明材料外，响应文件由联合体牵头人按上述规定加盖联合体牵头人单位公章。</w:t>
      </w:r>
      <w:bookmarkEnd w:id="467"/>
    </w:p>
    <w:p w14:paraId="5878786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68" w:name="_Toc144907621"/>
      <w:r>
        <w:rPr>
          <w:rFonts w:hint="eastAsia" w:ascii="仿宋" w:hAnsi="仿宋" w:eastAsia="仿宋" w:cs="仿宋"/>
          <w:b w:val="0"/>
          <w:color w:val="auto"/>
          <w:sz w:val="24"/>
          <w:szCs w:val="24"/>
          <w:highlight w:val="none"/>
        </w:rPr>
        <w:t>（3）响应文件制作完成后，供应商应对响应文件进行</w:t>
      </w:r>
      <w:r>
        <w:rPr>
          <w:rFonts w:hint="eastAsia" w:ascii="仿宋" w:hAnsi="仿宋" w:eastAsia="仿宋" w:cs="仿宋"/>
          <w:b w:val="0"/>
          <w:color w:val="auto"/>
          <w:sz w:val="24"/>
          <w:szCs w:val="24"/>
          <w:highlight w:val="none"/>
          <w:lang w:val="en-US" w:eastAsia="zh-CN"/>
        </w:rPr>
        <w:t>加密</w:t>
      </w:r>
      <w:r>
        <w:rPr>
          <w:rFonts w:hint="eastAsia" w:ascii="仿宋" w:hAnsi="仿宋" w:eastAsia="仿宋" w:cs="仿宋"/>
          <w:b w:val="0"/>
          <w:color w:val="auto"/>
          <w:sz w:val="24"/>
          <w:szCs w:val="24"/>
          <w:highlight w:val="none"/>
        </w:rPr>
        <w:t>。</w:t>
      </w:r>
      <w:bookmarkEnd w:id="468"/>
    </w:p>
    <w:bookmarkEnd w:id="466"/>
    <w:p w14:paraId="2668ABF7">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15.2 因供应商自身原因而导致响应文件无法</w:t>
      </w:r>
      <w:r>
        <w:rPr>
          <w:rFonts w:hint="eastAsia" w:ascii="仿宋" w:hAnsi="仿宋" w:eastAsia="仿宋" w:cs="仿宋"/>
          <w:b w:val="0"/>
          <w:color w:val="auto"/>
          <w:sz w:val="24"/>
          <w:szCs w:val="24"/>
          <w:highlight w:val="none"/>
          <w:lang w:eastAsia="zh-CN"/>
        </w:rPr>
        <w:t>提交的</w:t>
      </w:r>
      <w:r>
        <w:rPr>
          <w:rFonts w:hint="eastAsia" w:ascii="仿宋" w:hAnsi="仿宋" w:eastAsia="仿宋" w:cs="仿宋"/>
          <w:b w:val="0"/>
          <w:color w:val="auto"/>
          <w:sz w:val="24"/>
          <w:szCs w:val="24"/>
          <w:highlight w:val="none"/>
        </w:rPr>
        <w:t>，供应商自行承担由此导致的全部责任。</w:t>
      </w:r>
      <w:bookmarkEnd w:id="464"/>
    </w:p>
    <w:p w14:paraId="2E01E1CA">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69" w:name="_Toc144907624"/>
      <w:r>
        <w:rPr>
          <w:rFonts w:hint="eastAsia" w:ascii="仿宋" w:hAnsi="仿宋" w:eastAsia="仿宋" w:cs="仿宋"/>
          <w:b w:val="0"/>
          <w:color w:val="auto"/>
          <w:sz w:val="24"/>
          <w:szCs w:val="24"/>
          <w:highlight w:val="none"/>
        </w:rPr>
        <w:t>15.3 磋商现场提交的其他材料要求详见供应商须知前附表。</w:t>
      </w:r>
      <w:bookmarkEnd w:id="469"/>
    </w:p>
    <w:p w14:paraId="24DCA103">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70" w:name="_Toc144907625"/>
      <w:r>
        <w:rPr>
          <w:rFonts w:hint="eastAsia" w:ascii="仿宋" w:hAnsi="仿宋" w:eastAsia="仿宋" w:cs="仿宋"/>
          <w:b w:val="0"/>
          <w:color w:val="auto"/>
          <w:sz w:val="24"/>
          <w:szCs w:val="24"/>
          <w:highlight w:val="none"/>
        </w:rPr>
        <w:t>16 响应文件提交截止时间</w:t>
      </w:r>
      <w:bookmarkEnd w:id="470"/>
    </w:p>
    <w:p w14:paraId="3E188D77">
      <w:pPr>
        <w:pStyle w:val="2"/>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contextualSpacing/>
        <w:textAlignment w:val="auto"/>
        <w:rPr>
          <w:rFonts w:hint="eastAsia" w:ascii="仿宋" w:hAnsi="仿宋" w:eastAsia="仿宋" w:cs="仿宋"/>
          <w:b w:val="0"/>
          <w:color w:val="auto"/>
          <w:sz w:val="24"/>
          <w:szCs w:val="24"/>
          <w:highlight w:val="none"/>
        </w:rPr>
      </w:pPr>
      <w:bookmarkStart w:id="471" w:name="_Toc144907626"/>
      <w:bookmarkStart w:id="472" w:name="_Toc144907629"/>
      <w:r>
        <w:rPr>
          <w:rFonts w:hint="eastAsia" w:ascii="仿宋" w:hAnsi="仿宋" w:eastAsia="仿宋" w:cs="仿宋"/>
          <w:b w:val="0"/>
          <w:color w:val="auto"/>
          <w:sz w:val="24"/>
          <w:szCs w:val="24"/>
          <w:highlight w:val="none"/>
        </w:rPr>
        <w:t>16.1 供应商应在供应商须知前附表中规定的响应文件提交截止时间前，提交</w:t>
      </w:r>
      <w:r>
        <w:rPr>
          <w:rFonts w:hint="eastAsia" w:ascii="仿宋" w:hAnsi="仿宋" w:eastAsia="仿宋" w:cs="仿宋"/>
          <w:b w:val="0"/>
          <w:color w:val="auto"/>
          <w:sz w:val="24"/>
          <w:szCs w:val="24"/>
          <w:highlight w:val="none"/>
          <w:lang w:val="en-US" w:eastAsia="zh-CN"/>
        </w:rPr>
        <w:t>加密</w:t>
      </w:r>
      <w:r>
        <w:rPr>
          <w:rFonts w:hint="eastAsia" w:ascii="仿宋" w:hAnsi="仿宋" w:eastAsia="仿宋" w:cs="仿宋"/>
          <w:b w:val="0"/>
          <w:color w:val="auto"/>
          <w:sz w:val="24"/>
          <w:szCs w:val="24"/>
          <w:highlight w:val="none"/>
        </w:rPr>
        <w:t>响应文件。</w:t>
      </w:r>
      <w:bookmarkEnd w:id="471"/>
    </w:p>
    <w:p w14:paraId="08DCF447">
      <w:pPr>
        <w:pStyle w:val="2"/>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contextualSpacing/>
        <w:textAlignment w:val="auto"/>
        <w:rPr>
          <w:rFonts w:hint="eastAsia" w:ascii="仿宋" w:hAnsi="仿宋" w:eastAsia="仿宋" w:cs="仿宋"/>
          <w:b w:val="0"/>
          <w:color w:val="auto"/>
          <w:sz w:val="24"/>
          <w:szCs w:val="24"/>
          <w:highlight w:val="none"/>
        </w:rPr>
      </w:pPr>
      <w:bookmarkStart w:id="473" w:name="_Toc144907627"/>
      <w:r>
        <w:rPr>
          <w:rFonts w:hint="eastAsia" w:ascii="仿宋" w:hAnsi="仿宋" w:eastAsia="仿宋" w:cs="仿宋"/>
          <w:b w:val="0"/>
          <w:color w:val="auto"/>
          <w:sz w:val="24"/>
          <w:szCs w:val="24"/>
          <w:highlight w:val="none"/>
        </w:rPr>
        <w:t>16.2 供应商在磋商文件规定的响应文件提交截止时间</w:t>
      </w:r>
      <w:r>
        <w:rPr>
          <w:rFonts w:hint="eastAsia" w:ascii="仿宋" w:hAnsi="仿宋" w:eastAsia="仿宋" w:cs="仿宋"/>
          <w:b w:val="0"/>
          <w:color w:val="auto"/>
          <w:sz w:val="24"/>
          <w:szCs w:val="24"/>
          <w:highlight w:val="none"/>
          <w:lang w:val="en-US" w:eastAsia="zh-CN"/>
        </w:rPr>
        <w:t>之后提交磋商</w:t>
      </w:r>
      <w:r>
        <w:rPr>
          <w:rFonts w:hint="eastAsia" w:ascii="仿宋" w:hAnsi="仿宋" w:eastAsia="仿宋" w:cs="仿宋"/>
          <w:b w:val="0"/>
          <w:color w:val="auto"/>
          <w:sz w:val="24"/>
          <w:szCs w:val="24"/>
          <w:highlight w:val="none"/>
        </w:rPr>
        <w:t>响应文件，</w:t>
      </w:r>
      <w:r>
        <w:rPr>
          <w:rFonts w:hint="eastAsia" w:ascii="仿宋" w:hAnsi="仿宋" w:eastAsia="仿宋" w:cs="仿宋"/>
          <w:b w:val="0"/>
          <w:color w:val="auto"/>
          <w:sz w:val="24"/>
          <w:szCs w:val="24"/>
          <w:highlight w:val="none"/>
          <w:lang w:val="en-US" w:eastAsia="zh-CN"/>
        </w:rPr>
        <w:t>采购人有权拒收其磋商响应文件</w:t>
      </w:r>
      <w:r>
        <w:rPr>
          <w:rFonts w:hint="eastAsia" w:ascii="仿宋" w:hAnsi="仿宋" w:eastAsia="仿宋" w:cs="仿宋"/>
          <w:b w:val="0"/>
          <w:color w:val="auto"/>
          <w:sz w:val="24"/>
          <w:szCs w:val="24"/>
          <w:highlight w:val="none"/>
        </w:rPr>
        <w:t>。</w:t>
      </w:r>
      <w:bookmarkEnd w:id="473"/>
    </w:p>
    <w:p w14:paraId="2BDB5558">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74" w:name="_Toc144907628"/>
      <w:r>
        <w:rPr>
          <w:rFonts w:hint="eastAsia" w:ascii="仿宋" w:hAnsi="仿宋" w:eastAsia="仿宋" w:cs="仿宋"/>
          <w:b w:val="0"/>
          <w:color w:val="auto"/>
          <w:sz w:val="24"/>
          <w:szCs w:val="24"/>
          <w:highlight w:val="none"/>
        </w:rPr>
        <w:t>16.3 采购人和采购代理机构延迟响应文件提交截止时间的。采购人、采购代理机构和供应商受响应文件提交截止时间制约的所有权利和义务均应延长至新的截止时间。</w:t>
      </w:r>
      <w:bookmarkEnd w:id="474"/>
    </w:p>
    <w:p w14:paraId="2D6DBEFD">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17 响应文件的提交、修改与撤回</w:t>
      </w:r>
      <w:bookmarkEnd w:id="472"/>
    </w:p>
    <w:p w14:paraId="6BC6E4D2">
      <w:pPr>
        <w:pStyle w:val="2"/>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contextualSpacing/>
        <w:textAlignment w:val="auto"/>
        <w:rPr>
          <w:rFonts w:hint="eastAsia" w:ascii="仿宋" w:hAnsi="仿宋" w:eastAsia="仿宋" w:cs="仿宋"/>
          <w:b w:val="0"/>
          <w:color w:val="auto"/>
          <w:sz w:val="24"/>
          <w:szCs w:val="24"/>
          <w:highlight w:val="none"/>
        </w:rPr>
      </w:pPr>
      <w:bookmarkStart w:id="475" w:name="_Toc144907630"/>
      <w:bookmarkStart w:id="476" w:name="_Toc144907634"/>
      <w:r>
        <w:rPr>
          <w:rFonts w:hint="eastAsia" w:ascii="仿宋" w:hAnsi="仿宋" w:eastAsia="仿宋" w:cs="仿宋"/>
          <w:b w:val="0"/>
          <w:color w:val="auto"/>
          <w:sz w:val="24"/>
          <w:szCs w:val="24"/>
          <w:highlight w:val="none"/>
        </w:rPr>
        <w:t>17.1 供应商应当在第一章“竞争性磋商公告”规定的响应文件提交截止时间前，将</w:t>
      </w:r>
      <w:r>
        <w:rPr>
          <w:rFonts w:hint="eastAsia" w:ascii="仿宋" w:hAnsi="仿宋" w:eastAsia="仿宋" w:cs="仿宋"/>
          <w:b w:val="0"/>
          <w:color w:val="auto"/>
          <w:sz w:val="24"/>
          <w:szCs w:val="24"/>
          <w:highlight w:val="none"/>
          <w:lang w:eastAsia="zh-CN"/>
        </w:rPr>
        <w:t>加密</w:t>
      </w:r>
      <w:r>
        <w:rPr>
          <w:rFonts w:hint="eastAsia" w:ascii="仿宋" w:hAnsi="仿宋" w:eastAsia="仿宋" w:cs="仿宋"/>
          <w:b w:val="0"/>
          <w:color w:val="auto"/>
          <w:sz w:val="24"/>
          <w:szCs w:val="24"/>
          <w:highlight w:val="none"/>
        </w:rPr>
        <w:t>的响应文件</w:t>
      </w:r>
      <w:r>
        <w:rPr>
          <w:rFonts w:hint="eastAsia" w:ascii="仿宋" w:hAnsi="仿宋" w:eastAsia="仿宋" w:cs="仿宋"/>
          <w:b w:val="0"/>
          <w:color w:val="auto"/>
          <w:sz w:val="24"/>
          <w:szCs w:val="24"/>
          <w:highlight w:val="none"/>
          <w:lang w:val="en-US" w:eastAsia="zh-CN"/>
        </w:rPr>
        <w:t>递交</w:t>
      </w:r>
      <w:r>
        <w:rPr>
          <w:rFonts w:hint="eastAsia" w:ascii="仿宋" w:hAnsi="仿宋" w:eastAsia="仿宋" w:cs="仿宋"/>
          <w:b w:val="0"/>
          <w:color w:val="auto"/>
          <w:sz w:val="24"/>
          <w:szCs w:val="24"/>
          <w:highlight w:val="none"/>
        </w:rPr>
        <w:t>。</w:t>
      </w:r>
      <w:bookmarkEnd w:id="475"/>
    </w:p>
    <w:p w14:paraId="2422A08D">
      <w:pPr>
        <w:pStyle w:val="2"/>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contextualSpacing/>
        <w:textAlignment w:val="auto"/>
        <w:rPr>
          <w:rFonts w:hint="eastAsia" w:ascii="仿宋" w:hAnsi="仿宋" w:eastAsia="仿宋" w:cs="仿宋"/>
          <w:b w:val="0"/>
          <w:color w:val="auto"/>
          <w:sz w:val="24"/>
          <w:szCs w:val="24"/>
          <w:highlight w:val="none"/>
        </w:rPr>
      </w:pPr>
      <w:bookmarkStart w:id="477" w:name="_Toc144907631"/>
      <w:r>
        <w:rPr>
          <w:rFonts w:hint="eastAsia" w:ascii="仿宋" w:hAnsi="仿宋" w:eastAsia="仿宋" w:cs="仿宋"/>
          <w:b w:val="0"/>
          <w:color w:val="auto"/>
          <w:sz w:val="24"/>
          <w:szCs w:val="24"/>
          <w:highlight w:val="none"/>
        </w:rPr>
        <w:t>17.2 供应商应当在响应文件提交截止时间前完成响应文件的</w:t>
      </w:r>
      <w:r>
        <w:rPr>
          <w:rFonts w:hint="eastAsia" w:ascii="仿宋" w:hAnsi="仿宋" w:eastAsia="仿宋" w:cs="仿宋"/>
          <w:b w:val="0"/>
          <w:color w:val="auto"/>
          <w:sz w:val="24"/>
          <w:szCs w:val="24"/>
          <w:highlight w:val="none"/>
          <w:lang w:val="en-US" w:eastAsia="zh-CN"/>
        </w:rPr>
        <w:t>递交</w:t>
      </w:r>
      <w:r>
        <w:rPr>
          <w:rFonts w:hint="eastAsia" w:ascii="仿宋" w:hAnsi="仿宋" w:eastAsia="仿宋" w:cs="仿宋"/>
          <w:b w:val="0"/>
          <w:color w:val="auto"/>
          <w:sz w:val="24"/>
          <w:szCs w:val="24"/>
          <w:highlight w:val="none"/>
        </w:rPr>
        <w:t>，并可以补充、修改或者撤回响应文件。响应文件提交截止时间前未完成响应文件</w:t>
      </w:r>
      <w:r>
        <w:rPr>
          <w:rFonts w:hint="eastAsia" w:ascii="仿宋" w:hAnsi="仿宋" w:eastAsia="仿宋" w:cs="仿宋"/>
          <w:b w:val="0"/>
          <w:color w:val="auto"/>
          <w:sz w:val="24"/>
          <w:szCs w:val="24"/>
          <w:highlight w:val="none"/>
          <w:lang w:val="en-US" w:eastAsia="zh-CN"/>
        </w:rPr>
        <w:t>递交</w:t>
      </w:r>
      <w:r>
        <w:rPr>
          <w:rFonts w:hint="eastAsia" w:ascii="仿宋" w:hAnsi="仿宋" w:eastAsia="仿宋" w:cs="仿宋"/>
          <w:b w:val="0"/>
          <w:color w:val="auto"/>
          <w:sz w:val="24"/>
          <w:szCs w:val="24"/>
          <w:highlight w:val="none"/>
        </w:rPr>
        <w:t>的，视为撤回响应文件。未按规定</w:t>
      </w:r>
      <w:r>
        <w:rPr>
          <w:rFonts w:hint="eastAsia" w:ascii="仿宋" w:hAnsi="仿宋" w:eastAsia="仿宋" w:cs="仿宋"/>
          <w:b w:val="0"/>
          <w:color w:val="auto"/>
          <w:sz w:val="24"/>
          <w:szCs w:val="24"/>
          <w:highlight w:val="none"/>
          <w:lang w:val="en-US" w:eastAsia="zh-CN"/>
        </w:rPr>
        <w:t>加密</w:t>
      </w:r>
      <w:r>
        <w:rPr>
          <w:rFonts w:hint="eastAsia" w:ascii="仿宋" w:hAnsi="仿宋" w:eastAsia="仿宋" w:cs="仿宋"/>
          <w:b w:val="0"/>
          <w:color w:val="auto"/>
          <w:sz w:val="24"/>
          <w:szCs w:val="24"/>
          <w:highlight w:val="none"/>
        </w:rPr>
        <w:t>或响应文件提交截止时间后送达的响应文件，应当拒收。</w:t>
      </w:r>
      <w:bookmarkEnd w:id="477"/>
    </w:p>
    <w:p w14:paraId="503CEF40">
      <w:pPr>
        <w:pStyle w:val="2"/>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contextualSpacing/>
        <w:textAlignment w:val="auto"/>
        <w:rPr>
          <w:rFonts w:hint="eastAsia" w:ascii="仿宋" w:hAnsi="仿宋" w:eastAsia="仿宋" w:cs="仿宋"/>
          <w:b w:val="0"/>
          <w:color w:val="auto"/>
          <w:sz w:val="24"/>
          <w:szCs w:val="24"/>
          <w:highlight w:val="none"/>
        </w:rPr>
      </w:pPr>
      <w:bookmarkStart w:id="478" w:name="_Toc144907632"/>
      <w:r>
        <w:rPr>
          <w:rFonts w:hint="eastAsia" w:ascii="仿宋" w:hAnsi="仿宋" w:eastAsia="仿宋" w:cs="仿宋"/>
          <w:b w:val="0"/>
          <w:color w:val="auto"/>
          <w:sz w:val="24"/>
          <w:szCs w:val="24"/>
          <w:highlight w:val="none"/>
        </w:rPr>
        <w:t xml:space="preserve">17.3 </w:t>
      </w:r>
      <w:bookmarkEnd w:id="478"/>
      <w:bookmarkStart w:id="479" w:name="_Toc144907633"/>
      <w:r>
        <w:rPr>
          <w:rFonts w:hint="eastAsia" w:ascii="仿宋" w:hAnsi="仿宋" w:eastAsia="仿宋" w:cs="仿宋"/>
          <w:b w:val="0"/>
          <w:color w:val="auto"/>
          <w:sz w:val="24"/>
          <w:szCs w:val="24"/>
          <w:highlight w:val="none"/>
        </w:rPr>
        <w:t>在响应文件提交截止时间之后，供应商不得对其响应文件做任何修改。但属于磋商小组在评审中发现的计算错误并进行核实的修改、按照磋商文件的变动情况和磋商小组的要求重新提交响应文件的，不在此列。</w:t>
      </w:r>
      <w:bookmarkEnd w:id="479"/>
    </w:p>
    <w:p w14:paraId="600E3175">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18 磋商小组</w:t>
      </w:r>
      <w:bookmarkEnd w:id="476"/>
    </w:p>
    <w:p w14:paraId="425B2B0C">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80" w:name="_Toc144907635"/>
      <w:r>
        <w:rPr>
          <w:rFonts w:hint="eastAsia" w:ascii="仿宋" w:hAnsi="仿宋" w:eastAsia="仿宋" w:cs="仿宋"/>
          <w:b w:val="0"/>
          <w:color w:val="auto"/>
          <w:sz w:val="24"/>
          <w:szCs w:val="24"/>
          <w:highlight w:val="none"/>
        </w:rPr>
        <w:t>18.1 本项目将依法组建磋商小组，磋商小组成员由 3 人以上单数组成，磋商小组及其成员应当依照政府采购的有关规定履行相关职责和义务。</w:t>
      </w:r>
      <w:bookmarkEnd w:id="480"/>
    </w:p>
    <w:p w14:paraId="7CA65EFD">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81" w:name="_Toc144907636"/>
      <w:r>
        <w:rPr>
          <w:rFonts w:hint="eastAsia" w:ascii="仿宋" w:hAnsi="仿宋" w:eastAsia="仿宋" w:cs="仿宋"/>
          <w:b w:val="0"/>
          <w:color w:val="auto"/>
          <w:sz w:val="24"/>
          <w:szCs w:val="24"/>
          <w:highlight w:val="none"/>
        </w:rPr>
        <w:t>18.2 磋商小组依法对响应文件进行评审，并根据磋商文件规定的程序、评定成交的标准等事项与实质性响应磋商文件要求的供应商进行磋商。</w:t>
      </w:r>
      <w:bookmarkEnd w:id="481"/>
    </w:p>
    <w:p w14:paraId="3DCF9D42">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82" w:name="_Toc144907637"/>
      <w:r>
        <w:rPr>
          <w:rFonts w:hint="eastAsia" w:ascii="仿宋" w:hAnsi="仿宋" w:eastAsia="仿宋" w:cs="仿宋"/>
          <w:b w:val="0"/>
          <w:color w:val="auto"/>
          <w:sz w:val="24"/>
          <w:szCs w:val="24"/>
          <w:highlight w:val="none"/>
        </w:rPr>
        <w:t>18.3 磋商小组应当从质量和服务均能满足磋商文件实质性响应要求的供应商中，按照评审方法和标准推荐成交候选供应商，并编写评审报告。</w:t>
      </w:r>
      <w:bookmarkEnd w:id="482"/>
    </w:p>
    <w:p w14:paraId="650DD0B5">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83" w:name="_Toc144907638"/>
      <w:r>
        <w:rPr>
          <w:rFonts w:hint="eastAsia" w:ascii="仿宋" w:hAnsi="仿宋" w:eastAsia="仿宋" w:cs="仿宋"/>
          <w:b w:val="0"/>
          <w:color w:val="auto"/>
          <w:sz w:val="24"/>
          <w:szCs w:val="24"/>
          <w:highlight w:val="none"/>
        </w:rPr>
        <w:t>19 响应文件的评审与磋商</w:t>
      </w:r>
      <w:bookmarkEnd w:id="483"/>
    </w:p>
    <w:p w14:paraId="100DE3AA">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84" w:name="_Toc144907639"/>
      <w:r>
        <w:rPr>
          <w:rFonts w:hint="eastAsia" w:ascii="仿宋" w:hAnsi="仿宋" w:eastAsia="仿宋" w:cs="仿宋"/>
          <w:b w:val="0"/>
          <w:color w:val="auto"/>
          <w:sz w:val="24"/>
          <w:szCs w:val="24"/>
          <w:highlight w:val="none"/>
        </w:rPr>
        <w:t>19.1 采购人和采购代理机构将在供应商须知前附表规定的时间和地点组织磋商。</w:t>
      </w:r>
      <w:bookmarkEnd w:id="484"/>
    </w:p>
    <w:p w14:paraId="67B14B54">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85" w:name="_Toc144907640"/>
      <w:r>
        <w:rPr>
          <w:rFonts w:hint="eastAsia" w:ascii="仿宋" w:hAnsi="仿宋" w:eastAsia="仿宋" w:cs="仿宋"/>
          <w:b w:val="0"/>
          <w:color w:val="auto"/>
          <w:sz w:val="24"/>
          <w:szCs w:val="24"/>
          <w:highlight w:val="none"/>
        </w:rPr>
        <w:t>19.2 竞争性磋商活动采用综合评分法评审。</w:t>
      </w:r>
      <w:bookmarkEnd w:id="485"/>
    </w:p>
    <w:p w14:paraId="630CAFB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86" w:name="_Toc144907641"/>
      <w:r>
        <w:rPr>
          <w:rFonts w:hint="eastAsia" w:ascii="仿宋" w:hAnsi="仿宋" w:eastAsia="仿宋" w:cs="仿宋"/>
          <w:b w:val="0"/>
          <w:color w:val="auto"/>
          <w:sz w:val="24"/>
          <w:szCs w:val="24"/>
          <w:highlight w:val="none"/>
        </w:rPr>
        <w:t>综合评分法，是指响应文件满足磋商文件全部实质性要求且按评审因素的量化指标评审得分最高的供应商为成交候选供应商的评审方法。</w:t>
      </w:r>
      <w:bookmarkEnd w:id="486"/>
    </w:p>
    <w:p w14:paraId="7142BBA8">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87" w:name="_Toc144907642"/>
      <w:r>
        <w:rPr>
          <w:rFonts w:hint="eastAsia" w:ascii="仿宋" w:hAnsi="仿宋" w:eastAsia="仿宋" w:cs="仿宋"/>
          <w:b w:val="0"/>
          <w:color w:val="auto"/>
          <w:sz w:val="24"/>
          <w:szCs w:val="24"/>
          <w:highlight w:val="none"/>
        </w:rPr>
        <w:t>19.3 磋商小组将按照磋商文件规定的评审方法和标准对供应商独立进行评审。评审程序如下：</w:t>
      </w:r>
      <w:bookmarkEnd w:id="487"/>
    </w:p>
    <w:p w14:paraId="3CE3EADA">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88" w:name="_Toc144907643"/>
      <w:r>
        <w:rPr>
          <w:rFonts w:hint="eastAsia" w:ascii="仿宋" w:hAnsi="仿宋" w:eastAsia="仿宋" w:cs="仿宋"/>
          <w:b w:val="0"/>
          <w:color w:val="auto"/>
          <w:sz w:val="24"/>
          <w:szCs w:val="24"/>
          <w:highlight w:val="none"/>
        </w:rPr>
        <w:t>19.3.1 初审。磋商小组对供应商必须满足和实质性响应的内容进行评审，供应商未实质性响应磋商文件要求导致响应无效的，磋商小组将以书面询标的方式告知有关供应商。</w:t>
      </w:r>
      <w:bookmarkEnd w:id="488"/>
    </w:p>
    <w:p w14:paraId="415F1988">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89" w:name="_Toc144907644"/>
      <w:r>
        <w:rPr>
          <w:rFonts w:hint="eastAsia" w:ascii="仿宋" w:hAnsi="仿宋" w:eastAsia="仿宋" w:cs="仿宋"/>
          <w:b w:val="0"/>
          <w:color w:val="auto"/>
          <w:sz w:val="24"/>
          <w:szCs w:val="24"/>
          <w:highlight w:val="none"/>
        </w:rPr>
        <w:t>采购人或采购代理机构将在响应文件提交截止时间后至评审结束前查询供应商的信用记录。供应商存在不良信用记录的，其响应文件将被认定为响应无效。</w:t>
      </w:r>
      <w:bookmarkEnd w:id="489"/>
    </w:p>
    <w:p w14:paraId="1B3EA26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90" w:name="_Toc144907645"/>
      <w:r>
        <w:rPr>
          <w:rFonts w:hint="eastAsia" w:ascii="仿宋" w:hAnsi="仿宋" w:eastAsia="仿宋" w:cs="仿宋"/>
          <w:b w:val="0"/>
          <w:color w:val="auto"/>
          <w:sz w:val="24"/>
          <w:szCs w:val="24"/>
          <w:highlight w:val="none"/>
        </w:rPr>
        <w:t>19.3.1.1 不良信用记录指：（1）供应商被人民法院列入失信被执行人；（2）供应商或其法定代表人或拟派项目经理（项目负责人）被人民检察院列入行贿犯罪档案；（3）供应商被工商行政管理部门列入企业经营异常名录；（4）供应商被税务部门列入重大税收违法案件当事人名单；（5）供应商被政府采购监管部门列入政府采购严重违法失信行为记录名单，以及存在《中华人民共和国政府采购法实施条例》第十九条规定的行政处罚记录。</w:t>
      </w:r>
      <w:bookmarkEnd w:id="490"/>
    </w:p>
    <w:p w14:paraId="6546798B">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91" w:name="_Toc144907646"/>
      <w:r>
        <w:rPr>
          <w:rFonts w:hint="eastAsia" w:ascii="仿宋" w:hAnsi="仿宋" w:eastAsia="仿宋" w:cs="仿宋"/>
          <w:b w:val="0"/>
          <w:color w:val="auto"/>
          <w:sz w:val="24"/>
          <w:szCs w:val="24"/>
          <w:highlight w:val="none"/>
        </w:rPr>
        <w:t>以联合体形式参加磋商的，联合体任何成员存在以上不良信用记录的，联合体磋商将被认定为响应无效。</w:t>
      </w:r>
      <w:bookmarkEnd w:id="491"/>
    </w:p>
    <w:p w14:paraId="34F0DD7A">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92" w:name="_Toc144907647"/>
      <w:r>
        <w:rPr>
          <w:rFonts w:hint="eastAsia" w:ascii="仿宋" w:hAnsi="仿宋" w:eastAsia="仿宋" w:cs="仿宋"/>
          <w:b w:val="0"/>
          <w:color w:val="auto"/>
          <w:sz w:val="24"/>
          <w:szCs w:val="24"/>
          <w:highlight w:val="none"/>
        </w:rPr>
        <w:t>19.3.1.2 信用信息查询渠道：中国政府采购网（www.ccgp.gov.cn）、“信用中国”网站（www.creditchina.gov.cn）。</w:t>
      </w:r>
      <w:bookmarkEnd w:id="492"/>
    </w:p>
    <w:p w14:paraId="013665AD">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93" w:name="_Toc144907648"/>
      <w:r>
        <w:rPr>
          <w:rFonts w:hint="eastAsia" w:ascii="仿宋" w:hAnsi="仿宋" w:eastAsia="仿宋" w:cs="仿宋"/>
          <w:b w:val="0"/>
          <w:color w:val="auto"/>
          <w:sz w:val="24"/>
          <w:szCs w:val="24"/>
          <w:highlight w:val="none"/>
        </w:rPr>
        <w:t>19.3.1.3 信用信息记录方式：采购人或采购代理机构工作人员将查询网页打印、签字并存档备查。供应商不良信用记录以采购人或采购代理机构查询结果为准。</w:t>
      </w:r>
      <w:bookmarkEnd w:id="493"/>
    </w:p>
    <w:p w14:paraId="40057396">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94" w:name="_Toc144907649"/>
      <w:r>
        <w:rPr>
          <w:rFonts w:hint="eastAsia" w:ascii="仿宋" w:hAnsi="仿宋" w:eastAsia="仿宋" w:cs="仿宋"/>
          <w:b w:val="0"/>
          <w:color w:val="auto"/>
          <w:sz w:val="24"/>
          <w:szCs w:val="24"/>
          <w:highlight w:val="none"/>
        </w:rPr>
        <w:t>在本磋商文件规定的查询时间之外，网站信息发生的任何变更均不作为资格审查依据。</w:t>
      </w:r>
      <w:bookmarkEnd w:id="494"/>
    </w:p>
    <w:p w14:paraId="63362B1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95" w:name="_Toc144907650"/>
      <w:r>
        <w:rPr>
          <w:rFonts w:hint="eastAsia" w:ascii="仿宋" w:hAnsi="仿宋" w:eastAsia="仿宋" w:cs="仿宋"/>
          <w:b w:val="0"/>
          <w:color w:val="auto"/>
          <w:sz w:val="24"/>
          <w:szCs w:val="24"/>
          <w:highlight w:val="none"/>
        </w:rPr>
        <w:t>供应商自行提供的与网站信息不一致的其他证明材料亦不作为资格审查依据。</w:t>
      </w:r>
      <w:bookmarkEnd w:id="495"/>
    </w:p>
    <w:p w14:paraId="5DC95D6F">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96" w:name="_Toc144907651"/>
      <w:r>
        <w:rPr>
          <w:rFonts w:hint="eastAsia" w:ascii="仿宋" w:hAnsi="仿宋" w:eastAsia="仿宋" w:cs="仿宋"/>
          <w:b w:val="0"/>
          <w:color w:val="auto"/>
          <w:sz w:val="24"/>
          <w:szCs w:val="24"/>
          <w:highlight w:val="none"/>
        </w:rPr>
        <w:t>19.3.2 磋商。初审合格后，磋商小组将按响应文件提交顺序集中与单一供应商分别进行磋商，并给予所有参加磋商的供应商平等的磋商机会，如供应商未到磋商现场的，视同放弃该权利。</w:t>
      </w:r>
      <w:bookmarkEnd w:id="496"/>
    </w:p>
    <w:p w14:paraId="3967E956">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97" w:name="_Toc144907652"/>
      <w:r>
        <w:rPr>
          <w:rFonts w:hint="eastAsia" w:ascii="仿宋" w:hAnsi="仿宋" w:eastAsia="仿宋" w:cs="仿宋"/>
          <w:b w:val="0"/>
          <w:color w:val="auto"/>
          <w:sz w:val="24"/>
          <w:szCs w:val="24"/>
          <w:highlight w:val="none"/>
        </w:rPr>
        <w:t>19.3.3 报价。磋商结束后，磋商小组应当要求所有实质性响应的供应商在规定时间内提交最后报价。</w:t>
      </w:r>
      <w:bookmarkEnd w:id="497"/>
    </w:p>
    <w:p w14:paraId="79BDE723">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98" w:name="_Toc144907653"/>
      <w:r>
        <w:rPr>
          <w:rFonts w:hint="eastAsia" w:ascii="仿宋" w:hAnsi="仿宋" w:eastAsia="仿宋" w:cs="仿宋"/>
          <w:b w:val="0"/>
          <w:color w:val="auto"/>
          <w:sz w:val="24"/>
          <w:szCs w:val="24"/>
          <w:highlight w:val="none"/>
        </w:rPr>
        <w:t>19.3.4 综合评分。磋商小组只对通过初审，实质上响应磋商文件要求的响应文件进行综合评分。经磋商确定最终采购需求和提交最后报价的供应商后，由磋商小组采用综合评分法对提交最后报价的供应商的响应文件和最后报价进行综合评分。</w:t>
      </w:r>
      <w:bookmarkEnd w:id="498"/>
    </w:p>
    <w:p w14:paraId="0853836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499" w:name="_Toc144907654"/>
      <w:r>
        <w:rPr>
          <w:rFonts w:hint="eastAsia" w:ascii="仿宋" w:hAnsi="仿宋" w:eastAsia="仿宋" w:cs="仿宋"/>
          <w:b w:val="0"/>
          <w:color w:val="auto"/>
          <w:sz w:val="24"/>
          <w:szCs w:val="24"/>
          <w:highlight w:val="none"/>
        </w:rPr>
        <w:t>19.4 相关说明。</w:t>
      </w:r>
      <w:bookmarkEnd w:id="499"/>
    </w:p>
    <w:p w14:paraId="20E30891">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00" w:name="_Toc144907655"/>
      <w:r>
        <w:rPr>
          <w:rFonts w:hint="eastAsia" w:ascii="仿宋" w:hAnsi="仿宋" w:eastAsia="仿宋" w:cs="仿宋"/>
          <w:b w:val="0"/>
          <w:color w:val="auto"/>
          <w:sz w:val="24"/>
          <w:szCs w:val="24"/>
          <w:highlight w:val="none"/>
        </w:rPr>
        <w:t>19.4.1为保证磋商活动顺利进行，供应商可派相关技术人员进行现场答疑；</w:t>
      </w:r>
      <w:bookmarkEnd w:id="500"/>
    </w:p>
    <w:p w14:paraId="5288A926">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01" w:name="_Toc144907656"/>
      <w:r>
        <w:rPr>
          <w:rFonts w:hint="eastAsia" w:ascii="仿宋" w:hAnsi="仿宋" w:eastAsia="仿宋" w:cs="仿宋"/>
          <w:b w:val="0"/>
          <w:color w:val="auto"/>
          <w:sz w:val="24"/>
          <w:szCs w:val="24"/>
          <w:highlight w:val="none"/>
        </w:rPr>
        <w:t>19.4.2 磋商小组根据与供应商磋商情况可能实质性变动磋商文件的内容，包括采购需求中的技术、服务要求以及合同草案条款。磋商文件有实质性变动的，经采购人代表确认作为磋商文件的有效组成部分，磋商小组将以书面形式通知所有参加磋商的供应商。</w:t>
      </w:r>
      <w:bookmarkEnd w:id="501"/>
    </w:p>
    <w:p w14:paraId="727FC96A">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02" w:name="_Toc144907657"/>
      <w:r>
        <w:rPr>
          <w:rFonts w:hint="eastAsia" w:ascii="仿宋" w:hAnsi="仿宋" w:eastAsia="仿宋" w:cs="仿宋"/>
          <w:b w:val="0"/>
          <w:color w:val="auto"/>
          <w:sz w:val="24"/>
          <w:szCs w:val="24"/>
          <w:highlight w:val="none"/>
        </w:rPr>
        <w:t>19.4.3 磋商过程中，磋商小组发现供应商的报价或者某些分项报价明显不合理或者低于成本，有可能影响商品质量和不能诚信履约的，应当要求其在规定的期限内提供书面文件予以解释说明，并提交相关证明材料；否则，磋商小组可以取消该供应商的成交候选资格，按顺序由排在后面的成交候选供应商递补，以此类推。</w:t>
      </w:r>
      <w:bookmarkEnd w:id="502"/>
    </w:p>
    <w:p w14:paraId="2FC0839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03" w:name="_Toc144907658"/>
      <w:r>
        <w:rPr>
          <w:rFonts w:hint="eastAsia" w:ascii="仿宋" w:hAnsi="仿宋" w:eastAsia="仿宋" w:cs="仿宋"/>
          <w:b w:val="0"/>
          <w:color w:val="auto"/>
          <w:sz w:val="24"/>
          <w:szCs w:val="24"/>
          <w:highlight w:val="none"/>
        </w:rPr>
        <w:t>19.4.4 无论何种原因，即使供应商磋商时携带了证书材料的原件，但响应文件中未提供与之内容完全一致的扫描件或影印件的，磋商小组可以视同其未提供。</w:t>
      </w:r>
      <w:bookmarkEnd w:id="503"/>
    </w:p>
    <w:p w14:paraId="408DC547">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04" w:name="_Toc144907659"/>
      <w:r>
        <w:rPr>
          <w:rFonts w:hint="eastAsia" w:ascii="仿宋" w:hAnsi="仿宋" w:eastAsia="仿宋" w:cs="仿宋"/>
          <w:b w:val="0"/>
          <w:color w:val="auto"/>
          <w:sz w:val="24"/>
          <w:szCs w:val="24"/>
          <w:highlight w:val="none"/>
        </w:rPr>
        <w:t>19.4.5 磋商小组决定响应文件的响应性及符合性只根据响应文件本身的内容，而不寻求其他外部证据。</w:t>
      </w:r>
      <w:bookmarkEnd w:id="504"/>
    </w:p>
    <w:p w14:paraId="737F05B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05" w:name="_Toc144907660"/>
      <w:r>
        <w:rPr>
          <w:rFonts w:hint="eastAsia" w:ascii="仿宋" w:hAnsi="仿宋" w:eastAsia="仿宋" w:cs="仿宋"/>
          <w:b w:val="0"/>
          <w:color w:val="auto"/>
          <w:sz w:val="24"/>
          <w:szCs w:val="24"/>
          <w:highlight w:val="none"/>
        </w:rPr>
        <w:t>19.5 供应商授权代表对磋商过程有疑义，以及认为采购人、采购代理机构相关工作人员有需要回避的情形的，应当场提出询问或者回避申请，并说明理由。</w:t>
      </w:r>
      <w:bookmarkEnd w:id="505"/>
    </w:p>
    <w:p w14:paraId="12B79CC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06" w:name="_Toc144907661"/>
      <w:r>
        <w:rPr>
          <w:rFonts w:hint="eastAsia" w:ascii="仿宋" w:hAnsi="仿宋" w:eastAsia="仿宋" w:cs="仿宋"/>
          <w:b w:val="0"/>
          <w:color w:val="auto"/>
          <w:sz w:val="24"/>
          <w:szCs w:val="24"/>
          <w:highlight w:val="none"/>
        </w:rPr>
        <w:t>20 终止竞争性磋商</w:t>
      </w:r>
      <w:bookmarkEnd w:id="506"/>
    </w:p>
    <w:p w14:paraId="0A0AA87C">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07" w:name="_Toc144907662"/>
      <w:r>
        <w:rPr>
          <w:rFonts w:hint="eastAsia" w:ascii="仿宋" w:hAnsi="仿宋" w:eastAsia="仿宋" w:cs="仿宋"/>
          <w:b w:val="0"/>
          <w:color w:val="auto"/>
          <w:sz w:val="24"/>
          <w:szCs w:val="24"/>
          <w:highlight w:val="none"/>
        </w:rPr>
        <w:t>20.1 出现下列情况之一时，采购人和采购代理机构有权宣布终止竞争性磋商采购，并将理由通知所有供应商：</w:t>
      </w:r>
      <w:bookmarkEnd w:id="507"/>
    </w:p>
    <w:p w14:paraId="1BE5053C">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08" w:name="_Toc144907663"/>
      <w:r>
        <w:rPr>
          <w:rFonts w:hint="eastAsia" w:ascii="仿宋" w:hAnsi="仿宋" w:eastAsia="仿宋" w:cs="仿宋"/>
          <w:b w:val="0"/>
          <w:color w:val="auto"/>
          <w:sz w:val="24"/>
          <w:szCs w:val="24"/>
          <w:highlight w:val="none"/>
        </w:rPr>
        <w:t>（1）有效供应商数量不足，导致本次磋商缺乏竞争的；</w:t>
      </w:r>
      <w:bookmarkEnd w:id="508"/>
    </w:p>
    <w:p w14:paraId="181D417D">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09" w:name="_Toc144907664"/>
      <w:r>
        <w:rPr>
          <w:rFonts w:hint="eastAsia" w:ascii="仿宋" w:hAnsi="仿宋" w:eastAsia="仿宋" w:cs="仿宋"/>
          <w:b w:val="0"/>
          <w:color w:val="auto"/>
          <w:sz w:val="24"/>
          <w:szCs w:val="24"/>
          <w:highlight w:val="none"/>
        </w:rPr>
        <w:t>（2）出现影响采购公正的违法、违规行为的；</w:t>
      </w:r>
      <w:bookmarkEnd w:id="509"/>
    </w:p>
    <w:p w14:paraId="76E5060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10" w:name="_Toc144907665"/>
      <w:r>
        <w:rPr>
          <w:rFonts w:hint="eastAsia" w:ascii="仿宋" w:hAnsi="仿宋" w:eastAsia="仿宋" w:cs="仿宋"/>
          <w:b w:val="0"/>
          <w:color w:val="auto"/>
          <w:sz w:val="24"/>
          <w:szCs w:val="24"/>
          <w:highlight w:val="none"/>
        </w:rPr>
        <w:t>（3）因重大变故，采购任务取消的；</w:t>
      </w:r>
      <w:bookmarkEnd w:id="510"/>
    </w:p>
    <w:p w14:paraId="1AE457C7">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11" w:name="_Toc144907666"/>
      <w:r>
        <w:rPr>
          <w:rFonts w:hint="eastAsia" w:ascii="仿宋" w:hAnsi="仿宋" w:eastAsia="仿宋" w:cs="仿宋"/>
          <w:b w:val="0"/>
          <w:color w:val="auto"/>
          <w:sz w:val="24"/>
          <w:szCs w:val="24"/>
          <w:highlight w:val="none"/>
        </w:rPr>
        <w:t>（4）政府采购法律法规规定的其他情形。</w:t>
      </w:r>
      <w:bookmarkEnd w:id="511"/>
    </w:p>
    <w:p w14:paraId="101EFB8D">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12" w:name="_Toc144907667"/>
      <w:r>
        <w:rPr>
          <w:rFonts w:hint="eastAsia" w:ascii="仿宋" w:hAnsi="仿宋" w:eastAsia="仿宋" w:cs="仿宋"/>
          <w:b w:val="0"/>
          <w:color w:val="auto"/>
          <w:sz w:val="24"/>
          <w:szCs w:val="24"/>
          <w:highlight w:val="none"/>
        </w:rPr>
        <w:t>21 响应文件的澄清、说明或更正</w:t>
      </w:r>
      <w:bookmarkEnd w:id="512"/>
    </w:p>
    <w:p w14:paraId="46C136E4">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13" w:name="_Toc144907668"/>
      <w:r>
        <w:rPr>
          <w:rFonts w:hint="eastAsia" w:ascii="仿宋" w:hAnsi="仿宋" w:eastAsia="仿宋" w:cs="仿宋"/>
          <w:b w:val="0"/>
          <w:color w:val="auto"/>
          <w:sz w:val="24"/>
          <w:szCs w:val="24"/>
          <w:highlight w:val="none"/>
        </w:rPr>
        <w:t>21.1 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bookmarkEnd w:id="513"/>
    </w:p>
    <w:p w14:paraId="5908A7B2">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14" w:name="_Toc144907669"/>
      <w:r>
        <w:rPr>
          <w:rFonts w:hint="eastAsia" w:ascii="仿宋" w:hAnsi="仿宋" w:eastAsia="仿宋" w:cs="仿宋"/>
          <w:b w:val="0"/>
          <w:color w:val="auto"/>
          <w:sz w:val="24"/>
          <w:szCs w:val="24"/>
          <w:highlight w:val="none"/>
        </w:rPr>
        <w:t>21.2 磋商小组要求供应商澄清、说明或者更正响应文件应当以书面形式（询标）作出。供应商的澄清、说明或者更正应当由法定代表人或其授权代表签字或者加盖公章。</w:t>
      </w:r>
      <w:bookmarkEnd w:id="514"/>
    </w:p>
    <w:p w14:paraId="11720637">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15" w:name="_Toc144907670"/>
      <w:r>
        <w:rPr>
          <w:rFonts w:hint="eastAsia" w:ascii="仿宋" w:hAnsi="仿宋" w:eastAsia="仿宋" w:cs="仿宋"/>
          <w:b w:val="0"/>
          <w:color w:val="auto"/>
          <w:sz w:val="24"/>
          <w:szCs w:val="24"/>
          <w:highlight w:val="none"/>
        </w:rPr>
        <w:t>如有询标，</w:t>
      </w:r>
      <w:r>
        <w:rPr>
          <w:rFonts w:hint="eastAsia" w:ascii="仿宋" w:hAnsi="仿宋" w:eastAsia="仿宋" w:cs="仿宋"/>
          <w:b w:val="0"/>
          <w:color w:val="auto"/>
          <w:sz w:val="24"/>
          <w:szCs w:val="24"/>
          <w:highlight w:val="none"/>
          <w:lang w:eastAsia="zh-CN"/>
        </w:rPr>
        <w:t>将按照供应商须知前附表中询标方式进行</w:t>
      </w:r>
      <w:r>
        <w:rPr>
          <w:rFonts w:hint="eastAsia" w:ascii="仿宋" w:hAnsi="仿宋" w:eastAsia="仿宋" w:cs="仿宋"/>
          <w:b w:val="0"/>
          <w:color w:val="auto"/>
          <w:sz w:val="24"/>
          <w:szCs w:val="24"/>
          <w:highlight w:val="none"/>
        </w:rPr>
        <w:t>。因授权代表联系不上、未到磋商现场等情形而无法接受磋商小组询标的，供应商自行承担相关风险。</w:t>
      </w:r>
      <w:bookmarkEnd w:id="515"/>
    </w:p>
    <w:p w14:paraId="420AC0E4">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16" w:name="_Toc144907671"/>
      <w:r>
        <w:rPr>
          <w:rFonts w:hint="eastAsia" w:ascii="仿宋" w:hAnsi="仿宋" w:eastAsia="仿宋" w:cs="仿宋"/>
          <w:b w:val="0"/>
          <w:color w:val="auto"/>
          <w:sz w:val="24"/>
          <w:szCs w:val="24"/>
          <w:highlight w:val="none"/>
        </w:rPr>
        <w:t>22 最后报价</w:t>
      </w:r>
      <w:bookmarkEnd w:id="516"/>
    </w:p>
    <w:p w14:paraId="4C9A6B1C">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17" w:name="_Toc144907672"/>
      <w:r>
        <w:rPr>
          <w:rFonts w:hint="eastAsia" w:ascii="仿宋" w:hAnsi="仿宋" w:eastAsia="仿宋" w:cs="仿宋"/>
          <w:b w:val="0"/>
          <w:color w:val="auto"/>
          <w:sz w:val="24"/>
          <w:szCs w:val="24"/>
          <w:highlight w:val="none"/>
        </w:rPr>
        <w:t>22.1 磋商并不限定只进行二轮报价，如果磋商小组认为有必要，可以要求供应商进行多轮报价。</w:t>
      </w:r>
      <w:bookmarkEnd w:id="517"/>
    </w:p>
    <w:p w14:paraId="1C079CC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18" w:name="_Toc144907673"/>
      <w:r>
        <w:rPr>
          <w:rFonts w:hint="eastAsia" w:ascii="仿宋" w:hAnsi="仿宋" w:eastAsia="仿宋" w:cs="仿宋"/>
          <w:b w:val="0"/>
          <w:color w:val="auto"/>
          <w:sz w:val="24"/>
          <w:szCs w:val="24"/>
          <w:highlight w:val="none"/>
        </w:rPr>
        <w:t>22.2 在磋商内容不做实质性变更或重大调整的前提下，供应商下轮报价不得高于上一轮报价。</w:t>
      </w:r>
      <w:bookmarkEnd w:id="518"/>
    </w:p>
    <w:p w14:paraId="0A1200BF">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19" w:name="_Toc144907674"/>
      <w:r>
        <w:rPr>
          <w:rFonts w:hint="eastAsia" w:ascii="仿宋" w:hAnsi="仿宋" w:eastAsia="仿宋" w:cs="仿宋"/>
          <w:b w:val="0"/>
          <w:color w:val="auto"/>
          <w:sz w:val="24"/>
          <w:szCs w:val="24"/>
          <w:highlight w:val="none"/>
        </w:rPr>
        <w:t>22.3 最后报价是供应商响应文件的有效组成部分，最后报价也是签订合同的依据。</w:t>
      </w:r>
      <w:bookmarkEnd w:id="519"/>
    </w:p>
    <w:p w14:paraId="73D47327">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20" w:name="_Toc144907675"/>
      <w:r>
        <w:rPr>
          <w:rFonts w:hint="eastAsia" w:ascii="仿宋" w:hAnsi="仿宋" w:eastAsia="仿宋" w:cs="仿宋"/>
          <w:b w:val="0"/>
          <w:color w:val="auto"/>
          <w:sz w:val="24"/>
          <w:szCs w:val="24"/>
          <w:highlight w:val="none"/>
        </w:rPr>
        <w:t>22.4 根据《安徽省财政厅 安徽省经济和信息化厅转发财政部 工业和信息化部关于印发〈政府采购促进中小企业发展管理办法〉的通知》（皖财购〔2020〕1668号）、《安徽省财政厅关于进一步优化政府采购营商环境的通知》（皖财购〔2022〕556号）、《财政部 司法部关于政府采购支持监狱企业发展有关问题的通知》（财库〔2014〕68号）和《财政部 民政部中国残疾人联合会关于促进残疾人就业政府采购政策的通知》 （财库〔2017〕141 号）的规定，对满足价格扣除条件且在响应文件中提交了《中小企业声明函</w:t>
      </w:r>
      <w:r>
        <w:rPr>
          <w:rFonts w:hint="eastAsia" w:ascii="仿宋" w:hAnsi="仿宋" w:eastAsia="仿宋" w:cs="仿宋"/>
          <w:b w:val="0"/>
          <w:color w:val="auto"/>
          <w:sz w:val="24"/>
          <w:szCs w:val="24"/>
          <w:highlight w:val="none"/>
          <w:lang w:eastAsia="zh-CN"/>
        </w:rPr>
        <w:t>》</w:t>
      </w:r>
      <w:r>
        <w:rPr>
          <w:rFonts w:hint="eastAsia" w:ascii="仿宋" w:hAnsi="仿宋" w:eastAsia="仿宋" w:cs="仿宋"/>
          <w:b w:val="0"/>
          <w:color w:val="auto"/>
          <w:sz w:val="24"/>
          <w:szCs w:val="24"/>
          <w:highlight w:val="none"/>
        </w:rPr>
        <w:t>、</w:t>
      </w:r>
      <w:r>
        <w:rPr>
          <w:rFonts w:hint="eastAsia" w:ascii="仿宋" w:hAnsi="仿宋" w:eastAsia="仿宋" w:cs="仿宋"/>
          <w:b w:val="0"/>
          <w:color w:val="auto"/>
          <w:sz w:val="24"/>
          <w:szCs w:val="24"/>
          <w:highlight w:val="none"/>
          <w:lang w:eastAsia="zh-CN"/>
        </w:rPr>
        <w:t>《</w:t>
      </w:r>
      <w:r>
        <w:rPr>
          <w:rFonts w:hint="eastAsia" w:ascii="仿宋" w:hAnsi="仿宋" w:eastAsia="仿宋" w:cs="仿宋"/>
          <w:b w:val="0"/>
          <w:color w:val="auto"/>
          <w:sz w:val="24"/>
          <w:szCs w:val="24"/>
          <w:highlight w:val="none"/>
        </w:rPr>
        <w:t>残疾人福利性单位声明函》或省级以上监狱管理局、戒毒管理局（含新疆生产建设兵团）出具的属于监狱企业的证明文件的供应商，其报价按照供应商须知前附表中规定的标准扣除后参与评审。对于同时属于小微企业、监狱企业或残疾人福利性单位的，不重复进行报价扣除。</w:t>
      </w:r>
      <w:bookmarkEnd w:id="520"/>
    </w:p>
    <w:p w14:paraId="58369C85">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21" w:name="_Toc144907676"/>
      <w:r>
        <w:rPr>
          <w:rFonts w:hint="eastAsia" w:ascii="仿宋" w:hAnsi="仿宋" w:eastAsia="仿宋" w:cs="仿宋"/>
          <w:b w:val="0"/>
          <w:color w:val="auto"/>
          <w:sz w:val="24"/>
          <w:szCs w:val="24"/>
          <w:highlight w:val="none"/>
        </w:rPr>
        <w:t>联合体协议中约定，小型、微型企业和监狱企业的协议合同金额占到联合体协议合同总金额 30%以上的，可给予联合体报价按照供应商须知前附表中规定的标准扣除后参与评审。</w:t>
      </w:r>
      <w:bookmarkEnd w:id="521"/>
    </w:p>
    <w:p w14:paraId="388D3377">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22" w:name="_Toc144907677"/>
      <w:r>
        <w:rPr>
          <w:rFonts w:hint="eastAsia" w:ascii="仿宋" w:hAnsi="仿宋" w:eastAsia="仿宋" w:cs="仿宋"/>
          <w:b w:val="0"/>
          <w:color w:val="auto"/>
          <w:sz w:val="24"/>
          <w:szCs w:val="24"/>
          <w:highlight w:val="none"/>
        </w:rPr>
        <w:t>联合体各方均为小型、微型企业和监狱企业的，联合体视同为小型、微型企业和监狱企业。</w:t>
      </w:r>
      <w:bookmarkEnd w:id="522"/>
    </w:p>
    <w:p w14:paraId="2D93481C">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23" w:name="_Toc144907678"/>
      <w:r>
        <w:rPr>
          <w:rFonts w:hint="eastAsia" w:ascii="仿宋" w:hAnsi="仿宋" w:eastAsia="仿宋" w:cs="仿宋"/>
          <w:b w:val="0"/>
          <w:color w:val="auto"/>
          <w:sz w:val="24"/>
          <w:szCs w:val="24"/>
          <w:highlight w:val="none"/>
        </w:rPr>
        <w:t>23 成交候选供应商的推荐原则及标准</w:t>
      </w:r>
      <w:bookmarkEnd w:id="523"/>
    </w:p>
    <w:p w14:paraId="0CBD6E3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24" w:name="_Toc144907679"/>
      <w:r>
        <w:rPr>
          <w:rFonts w:hint="eastAsia" w:ascii="仿宋" w:hAnsi="仿宋" w:eastAsia="仿宋" w:cs="仿宋"/>
          <w:b w:val="0"/>
          <w:color w:val="auto"/>
          <w:sz w:val="24"/>
          <w:szCs w:val="24"/>
          <w:highlight w:val="none"/>
        </w:rPr>
        <w:t>23.1 磋商小组依据本项目磋商文件所约定的评审方法和标准，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bookmarkEnd w:id="524"/>
    </w:p>
    <w:p w14:paraId="7C19B3B8">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25" w:name="_Toc144907680"/>
      <w:r>
        <w:rPr>
          <w:rFonts w:hint="eastAsia" w:ascii="仿宋" w:hAnsi="仿宋" w:eastAsia="仿宋" w:cs="仿宋"/>
          <w:b w:val="0"/>
          <w:color w:val="auto"/>
          <w:sz w:val="24"/>
          <w:szCs w:val="24"/>
          <w:highlight w:val="none"/>
        </w:rPr>
        <w:t>24 确定成交候选供应商和成交供应商</w:t>
      </w:r>
      <w:bookmarkEnd w:id="525"/>
    </w:p>
    <w:p w14:paraId="7B6FCCCC">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26" w:name="_Toc144907681"/>
      <w:r>
        <w:rPr>
          <w:rFonts w:hint="eastAsia" w:ascii="仿宋" w:hAnsi="仿宋" w:eastAsia="仿宋" w:cs="仿宋"/>
          <w:b w:val="0"/>
          <w:color w:val="auto"/>
          <w:sz w:val="24"/>
          <w:szCs w:val="24"/>
          <w:highlight w:val="none"/>
        </w:rPr>
        <w:t>24.1 磋商小组根据综合评分的结果和供应商须知前附表中规定确定成交候选供应商，并标明排列顺序。排名第一的成交候选供应商经采购人或采购人授权的磋商小组确定为成交供应商后，由采购代理机构在指定媒体上予以公告。</w:t>
      </w:r>
      <w:bookmarkEnd w:id="526"/>
    </w:p>
    <w:p w14:paraId="029F86A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27" w:name="_Toc144907682"/>
      <w:r>
        <w:rPr>
          <w:rFonts w:hint="eastAsia" w:ascii="仿宋" w:hAnsi="仿宋" w:eastAsia="仿宋" w:cs="仿宋"/>
          <w:b w:val="0"/>
          <w:color w:val="auto"/>
          <w:sz w:val="24"/>
          <w:szCs w:val="24"/>
          <w:highlight w:val="none"/>
        </w:rPr>
        <w:t>25 编写评审报告</w:t>
      </w:r>
      <w:bookmarkEnd w:id="527"/>
    </w:p>
    <w:p w14:paraId="5CF062C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28" w:name="_Toc144907683"/>
      <w:r>
        <w:rPr>
          <w:rFonts w:hint="eastAsia" w:ascii="仿宋" w:hAnsi="仿宋" w:eastAsia="仿宋" w:cs="仿宋"/>
          <w:b w:val="0"/>
          <w:color w:val="auto"/>
          <w:sz w:val="24"/>
          <w:szCs w:val="24"/>
          <w:highlight w:val="none"/>
        </w:rPr>
        <w:t>25.1 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bookmarkEnd w:id="528"/>
    </w:p>
    <w:p w14:paraId="2EE9BB8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29" w:name="_Toc144907684"/>
      <w:r>
        <w:rPr>
          <w:rFonts w:hint="eastAsia" w:ascii="仿宋" w:hAnsi="仿宋" w:eastAsia="仿宋" w:cs="仿宋"/>
          <w:b w:val="0"/>
          <w:color w:val="auto"/>
          <w:sz w:val="24"/>
          <w:szCs w:val="24"/>
          <w:highlight w:val="none"/>
        </w:rPr>
        <w:t>26 保密要求</w:t>
      </w:r>
      <w:bookmarkEnd w:id="529"/>
    </w:p>
    <w:p w14:paraId="3D8F7F24">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30" w:name="_Toc144907685"/>
      <w:r>
        <w:rPr>
          <w:rFonts w:hint="eastAsia" w:ascii="仿宋" w:hAnsi="仿宋" w:eastAsia="仿宋" w:cs="仿宋"/>
          <w:b w:val="0"/>
          <w:color w:val="auto"/>
          <w:sz w:val="24"/>
          <w:szCs w:val="24"/>
          <w:highlight w:val="none"/>
        </w:rPr>
        <w:t>26.1 评审将在严格保密的情况下进行。</w:t>
      </w:r>
      <w:bookmarkEnd w:id="530"/>
    </w:p>
    <w:p w14:paraId="6FDA2F1B">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31" w:name="_Toc144907686"/>
      <w:r>
        <w:rPr>
          <w:rFonts w:hint="eastAsia" w:ascii="仿宋" w:hAnsi="仿宋" w:eastAsia="仿宋" w:cs="仿宋"/>
          <w:b w:val="0"/>
          <w:color w:val="auto"/>
          <w:sz w:val="24"/>
          <w:szCs w:val="24"/>
          <w:highlight w:val="none"/>
        </w:rPr>
        <w:t>26.2 有关人员应当遵守评审工作纪律，不得泄露评审文件、评审情况和评审中获悉的国家秘密、商业秘密。</w:t>
      </w:r>
      <w:bookmarkEnd w:id="531"/>
    </w:p>
    <w:p w14:paraId="6C9511FD">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32" w:name="_Toc144907687"/>
      <w:r>
        <w:rPr>
          <w:rFonts w:hint="eastAsia" w:ascii="仿宋" w:hAnsi="仿宋" w:eastAsia="仿宋" w:cs="仿宋"/>
          <w:b w:val="0"/>
          <w:color w:val="auto"/>
          <w:sz w:val="24"/>
          <w:szCs w:val="24"/>
          <w:highlight w:val="none"/>
        </w:rPr>
        <w:t>27 成交结果公告</w:t>
      </w:r>
      <w:bookmarkEnd w:id="532"/>
    </w:p>
    <w:p w14:paraId="204962C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33" w:name="_Toc144907688"/>
      <w:r>
        <w:rPr>
          <w:rFonts w:hint="eastAsia" w:ascii="仿宋" w:hAnsi="仿宋" w:eastAsia="仿宋" w:cs="仿宋"/>
          <w:b w:val="0"/>
          <w:color w:val="auto"/>
          <w:sz w:val="24"/>
          <w:szCs w:val="24"/>
          <w:highlight w:val="none"/>
        </w:rPr>
        <w:t>27.1 为体现“公开、公平、公正”的原则，磋商结束后，采购代理机构将在</w:t>
      </w:r>
      <w:r>
        <w:rPr>
          <w:rFonts w:hint="eastAsia" w:ascii="仿宋" w:hAnsi="仿宋" w:eastAsia="仿宋" w:cs="仿宋"/>
          <w:b w:val="0"/>
          <w:color w:val="auto"/>
          <w:sz w:val="24"/>
          <w:szCs w:val="24"/>
          <w:highlight w:val="none"/>
          <w:lang w:val="en-US" w:eastAsia="zh-CN"/>
        </w:rPr>
        <w:t>公告发布同网站</w:t>
      </w:r>
      <w:r>
        <w:rPr>
          <w:rFonts w:hint="eastAsia" w:ascii="仿宋" w:hAnsi="仿宋" w:eastAsia="仿宋" w:cs="仿宋"/>
          <w:b w:val="0"/>
          <w:color w:val="auto"/>
          <w:sz w:val="24"/>
          <w:szCs w:val="24"/>
          <w:highlight w:val="none"/>
        </w:rPr>
        <w:t>上发布成交结果公告。</w:t>
      </w:r>
      <w:bookmarkEnd w:id="533"/>
    </w:p>
    <w:p w14:paraId="6C6E0A9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34" w:name="_Toc144907689"/>
      <w:r>
        <w:rPr>
          <w:rFonts w:hint="eastAsia" w:ascii="仿宋" w:hAnsi="仿宋" w:eastAsia="仿宋" w:cs="仿宋"/>
          <w:b w:val="0"/>
          <w:color w:val="auto"/>
          <w:sz w:val="24"/>
          <w:szCs w:val="24"/>
          <w:highlight w:val="none"/>
        </w:rPr>
        <w:t>27.2 成交结果公告内容应当包括采购人及其委托的采购代理机构的名称、地址、联系方式，项目名称和项目编号，成交供应商名称、地址和成交金额，主要成交标的的名称、规格型号、数量、单价、服务要求，成交结果公告期限、评审专家名单以及供应商须知前附表中约定进行公告的内容。</w:t>
      </w:r>
      <w:bookmarkEnd w:id="534"/>
    </w:p>
    <w:p w14:paraId="623FDFA3">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35" w:name="_Toc144907690"/>
      <w:r>
        <w:rPr>
          <w:rFonts w:hint="eastAsia" w:ascii="仿宋" w:hAnsi="仿宋" w:eastAsia="仿宋" w:cs="仿宋"/>
          <w:b w:val="0"/>
          <w:color w:val="auto"/>
          <w:sz w:val="24"/>
          <w:szCs w:val="24"/>
          <w:highlight w:val="none"/>
        </w:rPr>
        <w:t>28 成交通知书</w:t>
      </w:r>
      <w:bookmarkEnd w:id="535"/>
    </w:p>
    <w:p w14:paraId="61D7614B">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36" w:name="_Toc144907691"/>
      <w:r>
        <w:rPr>
          <w:rFonts w:hint="eastAsia" w:ascii="仿宋" w:hAnsi="仿宋" w:eastAsia="仿宋" w:cs="仿宋"/>
          <w:b w:val="0"/>
          <w:color w:val="auto"/>
          <w:sz w:val="24"/>
          <w:szCs w:val="24"/>
          <w:highlight w:val="none"/>
        </w:rPr>
        <w:t>28.1 采购代理机构发布成交结果公告的同时以供应商须知前附表规定的形式向成交供应商发出成交通知书。</w:t>
      </w:r>
      <w:bookmarkEnd w:id="536"/>
    </w:p>
    <w:p w14:paraId="601BD350">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37" w:name="_Toc144907692"/>
      <w:r>
        <w:rPr>
          <w:rFonts w:hint="eastAsia" w:ascii="仿宋" w:hAnsi="仿宋" w:eastAsia="仿宋" w:cs="仿宋"/>
          <w:b w:val="0"/>
          <w:color w:val="auto"/>
          <w:sz w:val="24"/>
          <w:szCs w:val="24"/>
          <w:highlight w:val="none"/>
        </w:rPr>
        <w:t>28.2 成交通知书对采购人和成交供应商具有同等法律效力。成交通知书发出以后，采购人改变成交结果或者成交供应商放弃成交资格，应当承担相应的法律责任。</w:t>
      </w:r>
      <w:bookmarkEnd w:id="537"/>
    </w:p>
    <w:p w14:paraId="67ED15B1">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38" w:name="_Toc144907693"/>
      <w:r>
        <w:rPr>
          <w:rFonts w:hint="eastAsia" w:ascii="仿宋" w:hAnsi="仿宋" w:eastAsia="仿宋" w:cs="仿宋"/>
          <w:b w:val="0"/>
          <w:color w:val="auto"/>
          <w:sz w:val="24"/>
          <w:szCs w:val="24"/>
          <w:highlight w:val="none"/>
        </w:rPr>
        <w:t>28.3 成交通知书是合同的组成部分。</w:t>
      </w:r>
      <w:bookmarkEnd w:id="538"/>
    </w:p>
    <w:p w14:paraId="00559E04">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39" w:name="_Toc144907694"/>
      <w:r>
        <w:rPr>
          <w:rFonts w:hint="eastAsia" w:ascii="仿宋" w:hAnsi="仿宋" w:eastAsia="仿宋" w:cs="仿宋"/>
          <w:b w:val="0"/>
          <w:color w:val="auto"/>
          <w:sz w:val="24"/>
          <w:szCs w:val="24"/>
          <w:highlight w:val="none"/>
        </w:rPr>
        <w:t>29 告知磋商结果</w:t>
      </w:r>
      <w:bookmarkEnd w:id="539"/>
    </w:p>
    <w:p w14:paraId="24D2B44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40" w:name="_Toc144907695"/>
      <w:r>
        <w:rPr>
          <w:rFonts w:hint="eastAsia" w:ascii="仿宋" w:hAnsi="仿宋" w:eastAsia="仿宋" w:cs="仿宋"/>
          <w:b w:val="0"/>
          <w:color w:val="auto"/>
          <w:sz w:val="24"/>
          <w:szCs w:val="24"/>
          <w:highlight w:val="none"/>
        </w:rPr>
        <w:t>29.1 在公告成交结果的同时，采购代理机构同时以供应商须知前附表规定的形式告知未成交供应商本人的评审得分和排序。</w:t>
      </w:r>
      <w:bookmarkEnd w:id="540"/>
    </w:p>
    <w:p w14:paraId="2C0384B7">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41" w:name="_Toc144907696"/>
      <w:r>
        <w:rPr>
          <w:rFonts w:hint="eastAsia" w:ascii="仿宋" w:hAnsi="仿宋" w:eastAsia="仿宋" w:cs="仿宋"/>
          <w:b w:val="0"/>
          <w:color w:val="auto"/>
          <w:sz w:val="24"/>
          <w:szCs w:val="24"/>
          <w:highlight w:val="none"/>
        </w:rPr>
        <w:t>29.2 采购代理机构对未成交的供应商不做未成交原因的解释。</w:t>
      </w:r>
      <w:bookmarkEnd w:id="541"/>
    </w:p>
    <w:p w14:paraId="5F292717">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42" w:name="_Toc144907697"/>
      <w:r>
        <w:rPr>
          <w:rFonts w:hint="eastAsia" w:ascii="仿宋" w:hAnsi="仿宋" w:eastAsia="仿宋" w:cs="仿宋"/>
          <w:b w:val="0"/>
          <w:color w:val="auto"/>
          <w:sz w:val="24"/>
          <w:szCs w:val="24"/>
          <w:highlight w:val="none"/>
        </w:rPr>
        <w:t>30 履约保证金</w:t>
      </w:r>
      <w:bookmarkEnd w:id="542"/>
    </w:p>
    <w:p w14:paraId="761B1D2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43" w:name="_Toc144907698"/>
      <w:r>
        <w:rPr>
          <w:rFonts w:hint="eastAsia" w:ascii="仿宋" w:hAnsi="仿宋" w:eastAsia="仿宋" w:cs="仿宋"/>
          <w:b w:val="0"/>
          <w:color w:val="auto"/>
          <w:sz w:val="24"/>
          <w:szCs w:val="24"/>
          <w:highlight w:val="none"/>
        </w:rPr>
        <w:t>30.1 成交供应商应按照供应商须知前附表规定缴纳履约保证金。</w:t>
      </w:r>
      <w:bookmarkEnd w:id="543"/>
    </w:p>
    <w:p w14:paraId="5C504C15">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44" w:name="_Toc144907699"/>
      <w:r>
        <w:rPr>
          <w:rFonts w:hint="eastAsia" w:ascii="仿宋" w:hAnsi="仿宋" w:eastAsia="仿宋" w:cs="仿宋"/>
          <w:b w:val="0"/>
          <w:color w:val="auto"/>
          <w:sz w:val="24"/>
          <w:szCs w:val="24"/>
          <w:highlight w:val="none"/>
        </w:rPr>
        <w:t>30.2 如果成交供应商没有按照上述履约保证金的规定执行，将视为放弃成交资格。在此情况下，采购人可确定下一成交候选供应商为成交供应商，也可以重新开展采购活动。</w:t>
      </w:r>
      <w:bookmarkEnd w:id="544"/>
    </w:p>
    <w:p w14:paraId="0113C97F">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45" w:name="_Toc144907700"/>
      <w:r>
        <w:rPr>
          <w:rFonts w:hint="eastAsia" w:ascii="仿宋" w:hAnsi="仿宋" w:eastAsia="仿宋" w:cs="仿宋"/>
          <w:b w:val="0"/>
          <w:color w:val="auto"/>
          <w:sz w:val="24"/>
          <w:szCs w:val="24"/>
          <w:highlight w:val="none"/>
        </w:rPr>
        <w:t>31 代理服务费</w:t>
      </w:r>
      <w:bookmarkEnd w:id="545"/>
    </w:p>
    <w:p w14:paraId="654D0D3F">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46" w:name="_Toc144907701"/>
      <w:r>
        <w:rPr>
          <w:rFonts w:hint="eastAsia" w:ascii="仿宋" w:hAnsi="仿宋" w:eastAsia="仿宋" w:cs="仿宋"/>
          <w:b w:val="0"/>
          <w:color w:val="auto"/>
          <w:sz w:val="24"/>
          <w:szCs w:val="24"/>
          <w:highlight w:val="none"/>
        </w:rPr>
        <w:t>31.1 本项目代理服务费的收取按供应商须知前附表的规定执行。</w:t>
      </w:r>
      <w:bookmarkEnd w:id="546"/>
    </w:p>
    <w:p w14:paraId="1F067F01">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47" w:name="_Toc144907702"/>
      <w:r>
        <w:rPr>
          <w:rFonts w:hint="eastAsia" w:ascii="仿宋" w:hAnsi="仿宋" w:eastAsia="仿宋" w:cs="仿宋"/>
          <w:b w:val="0"/>
          <w:color w:val="auto"/>
          <w:sz w:val="24"/>
          <w:szCs w:val="24"/>
          <w:highlight w:val="none"/>
        </w:rPr>
        <w:t>32 签订合同</w:t>
      </w:r>
      <w:bookmarkEnd w:id="547"/>
    </w:p>
    <w:p w14:paraId="751383F2">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48" w:name="_Toc144907703"/>
      <w:r>
        <w:rPr>
          <w:rFonts w:hint="eastAsia" w:ascii="仿宋" w:hAnsi="仿宋" w:eastAsia="仿宋" w:cs="仿宋"/>
          <w:b w:val="0"/>
          <w:color w:val="auto"/>
          <w:sz w:val="24"/>
          <w:szCs w:val="24"/>
          <w:highlight w:val="none"/>
        </w:rPr>
        <w:t>32.1 采购人与成交供应商应当自发出成交通知书之日起 7个工作日内签订合同。</w:t>
      </w:r>
      <w:bookmarkEnd w:id="548"/>
    </w:p>
    <w:p w14:paraId="486D25B3">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49" w:name="_Toc144907704"/>
      <w:r>
        <w:rPr>
          <w:rFonts w:hint="eastAsia" w:ascii="仿宋" w:hAnsi="仿宋" w:eastAsia="仿宋" w:cs="仿宋"/>
          <w:b w:val="0"/>
          <w:color w:val="auto"/>
          <w:sz w:val="24"/>
          <w:szCs w:val="24"/>
          <w:highlight w:val="none"/>
        </w:rPr>
        <w:t>32.2 磋商文件、成交供应商的响应文件及其澄清文件等，均为签订合同的依据。</w:t>
      </w:r>
      <w:bookmarkEnd w:id="549"/>
    </w:p>
    <w:p w14:paraId="6816AF76">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50" w:name="_Toc144907705"/>
      <w:r>
        <w:rPr>
          <w:rFonts w:hint="eastAsia" w:ascii="仿宋" w:hAnsi="仿宋" w:eastAsia="仿宋" w:cs="仿宋"/>
          <w:b w:val="0"/>
          <w:color w:val="auto"/>
          <w:sz w:val="24"/>
          <w:szCs w:val="24"/>
          <w:highlight w:val="none"/>
        </w:rPr>
        <w:t>32.3 成交供应商拒绝与采购人签订合同的，采购人可以按照评审报告推荐的成交候选供应商名单排序，确定下一成交候选供应商为成交供应商，也可以重新开展采购活动。成交供应商拒绝签订政府采购合同的不得参加对该项目重新开展的采购活动。</w:t>
      </w:r>
      <w:bookmarkEnd w:id="550"/>
    </w:p>
    <w:p w14:paraId="48CB584E">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51" w:name="_Toc144907706"/>
      <w:r>
        <w:rPr>
          <w:rFonts w:hint="eastAsia" w:ascii="仿宋" w:hAnsi="仿宋" w:eastAsia="仿宋" w:cs="仿宋"/>
          <w:b w:val="0"/>
          <w:color w:val="auto"/>
          <w:sz w:val="24"/>
          <w:szCs w:val="24"/>
          <w:highlight w:val="none"/>
        </w:rPr>
        <w:t>33 廉洁自律规定</w:t>
      </w:r>
      <w:bookmarkEnd w:id="551"/>
    </w:p>
    <w:p w14:paraId="0B674834">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52" w:name="_Toc144907707"/>
      <w:r>
        <w:rPr>
          <w:rFonts w:hint="eastAsia" w:ascii="仿宋" w:hAnsi="仿宋" w:eastAsia="仿宋" w:cs="仿宋"/>
          <w:b w:val="0"/>
          <w:color w:val="auto"/>
          <w:sz w:val="24"/>
          <w:szCs w:val="24"/>
          <w:highlight w:val="none"/>
        </w:rPr>
        <w:t>33.1 采购代理机构工作人员不得以不正当手段获取政府采购代理业务，不得与采购人、供应商恶意串通。</w:t>
      </w:r>
      <w:bookmarkEnd w:id="552"/>
    </w:p>
    <w:p w14:paraId="3CDC1401">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53" w:name="_Toc144907708"/>
      <w:r>
        <w:rPr>
          <w:rFonts w:hint="eastAsia" w:ascii="仿宋" w:hAnsi="仿宋" w:eastAsia="仿宋" w:cs="仿宋"/>
          <w:b w:val="0"/>
          <w:color w:val="auto"/>
          <w:sz w:val="24"/>
          <w:szCs w:val="24"/>
          <w:highlight w:val="none"/>
        </w:rPr>
        <w:t>33.2采购代理机构工作人员不得接受采购人或者供应商组织的宴请、旅游、娱乐，不得收受礼品、现金、有价证券等，不得向采购人或者供应商报销应当由个人承担的费用。</w:t>
      </w:r>
      <w:bookmarkEnd w:id="553"/>
    </w:p>
    <w:p w14:paraId="422D7513">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54" w:name="_Toc144907709"/>
      <w:r>
        <w:rPr>
          <w:rFonts w:hint="eastAsia" w:ascii="仿宋" w:hAnsi="仿宋" w:eastAsia="仿宋" w:cs="仿宋"/>
          <w:b w:val="0"/>
          <w:color w:val="auto"/>
          <w:sz w:val="24"/>
          <w:szCs w:val="24"/>
          <w:highlight w:val="none"/>
        </w:rPr>
        <w:t>34 质疑的提出与接收</w:t>
      </w:r>
      <w:bookmarkEnd w:id="554"/>
    </w:p>
    <w:p w14:paraId="1A5E72AA">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55" w:name="_Toc144907710"/>
      <w:r>
        <w:rPr>
          <w:rFonts w:hint="eastAsia" w:ascii="仿宋" w:hAnsi="仿宋" w:eastAsia="仿宋" w:cs="仿宋"/>
          <w:b w:val="0"/>
          <w:color w:val="auto"/>
          <w:sz w:val="24"/>
          <w:szCs w:val="24"/>
          <w:highlight w:val="none"/>
        </w:rPr>
        <w:t>34.1 供应商认为磋商文件、采购过程、成交结果使自己的权益受到损害的，可以根据《中华人民共和国政府采购法》、《中华人民共和国政府采购法实施条例》和《政府采购质疑和投诉办法》的有关规定，依法向采购人或其委托的采购代理机构提出质疑。</w:t>
      </w:r>
      <w:bookmarkEnd w:id="555"/>
    </w:p>
    <w:p w14:paraId="118254EC">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56" w:name="_Toc144907711"/>
      <w:r>
        <w:rPr>
          <w:rFonts w:hint="eastAsia" w:ascii="仿宋" w:hAnsi="仿宋" w:eastAsia="仿宋" w:cs="仿宋"/>
          <w:b w:val="0"/>
          <w:color w:val="auto"/>
          <w:sz w:val="24"/>
          <w:szCs w:val="24"/>
          <w:highlight w:val="none"/>
        </w:rPr>
        <w:t>34.2 质疑供应商应按照财政部制定的《政府采购质疑函范本》格式和《政府采购质疑和投诉办法》的要求，在法定质疑期内以书面形式</w:t>
      </w:r>
      <w:r>
        <w:rPr>
          <w:rFonts w:hint="eastAsia" w:ascii="仿宋" w:hAnsi="仿宋" w:eastAsia="仿宋" w:cs="仿宋"/>
          <w:b w:val="0"/>
          <w:color w:val="auto"/>
          <w:sz w:val="24"/>
          <w:szCs w:val="24"/>
          <w:highlight w:val="none"/>
          <w:lang w:eastAsia="zh-CN"/>
        </w:rPr>
        <w:t>提出</w:t>
      </w:r>
      <w:r>
        <w:rPr>
          <w:rFonts w:hint="eastAsia" w:ascii="仿宋" w:hAnsi="仿宋" w:eastAsia="仿宋" w:cs="仿宋"/>
          <w:b w:val="0"/>
          <w:color w:val="auto"/>
          <w:sz w:val="24"/>
          <w:szCs w:val="24"/>
          <w:highlight w:val="none"/>
        </w:rPr>
        <w:t>质疑，超出法定质疑期提交的质疑将被拒绝。针对同一采购程序环节的质疑应一次性提出。</w:t>
      </w:r>
      <w:bookmarkEnd w:id="556"/>
    </w:p>
    <w:p w14:paraId="0EC1E73B">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57" w:name="_Toc144907712"/>
      <w:r>
        <w:rPr>
          <w:rFonts w:hint="eastAsia" w:ascii="仿宋" w:hAnsi="仿宋" w:eastAsia="仿宋" w:cs="仿宋"/>
          <w:b w:val="0"/>
          <w:color w:val="auto"/>
          <w:sz w:val="24"/>
          <w:szCs w:val="24"/>
          <w:highlight w:val="none"/>
        </w:rPr>
        <w:t>超出法定质疑期的、重复提出的、分次提出的或内容、形式不符合《政府采购质疑和投诉办法》的，质疑供应商将依法承担不利后果。</w:t>
      </w:r>
      <w:bookmarkEnd w:id="557"/>
    </w:p>
    <w:p w14:paraId="03A6A4CF">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58" w:name="_Toc144907713"/>
      <w:r>
        <w:rPr>
          <w:rFonts w:hint="eastAsia" w:ascii="仿宋" w:hAnsi="仿宋" w:eastAsia="仿宋" w:cs="仿宋"/>
          <w:b w:val="0"/>
          <w:color w:val="auto"/>
          <w:sz w:val="24"/>
          <w:szCs w:val="24"/>
          <w:highlight w:val="none"/>
        </w:rPr>
        <w:t>34.3 采购代理机构质疑函接收部门、联系电话和通讯地址，见供应商须知前附表。</w:t>
      </w:r>
      <w:bookmarkEnd w:id="558"/>
    </w:p>
    <w:p w14:paraId="79D3F229">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Fonts w:hint="eastAsia" w:ascii="仿宋" w:hAnsi="仿宋" w:eastAsia="仿宋" w:cs="仿宋"/>
          <w:b w:val="0"/>
          <w:color w:val="auto"/>
          <w:sz w:val="24"/>
          <w:szCs w:val="24"/>
          <w:highlight w:val="none"/>
        </w:rPr>
      </w:pPr>
      <w:bookmarkStart w:id="559" w:name="_Toc144907714"/>
      <w:r>
        <w:rPr>
          <w:rFonts w:hint="eastAsia" w:ascii="仿宋" w:hAnsi="仿宋" w:eastAsia="仿宋" w:cs="仿宋"/>
          <w:b w:val="0"/>
          <w:color w:val="auto"/>
          <w:sz w:val="24"/>
          <w:szCs w:val="24"/>
          <w:highlight w:val="none"/>
        </w:rPr>
        <w:t>35 需要补充的其他内容</w:t>
      </w:r>
      <w:bookmarkEnd w:id="559"/>
    </w:p>
    <w:p w14:paraId="2C60C823">
      <w:pPr>
        <w:pStyle w:val="2"/>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contextualSpacing/>
        <w:textAlignment w:val="auto"/>
        <w:rPr>
          <w:rStyle w:val="50"/>
          <w:rFonts w:hint="default" w:ascii="方正小标宋简体" w:hAnsi="黑体" w:eastAsia="方正小标宋简体" w:cs="仿宋"/>
          <w:b w:val="0"/>
          <w:color w:val="auto"/>
          <w:sz w:val="44"/>
          <w:szCs w:val="44"/>
          <w:highlight w:val="none"/>
        </w:rPr>
      </w:pPr>
      <w:bookmarkStart w:id="560" w:name="_Toc144907715"/>
      <w:r>
        <w:rPr>
          <w:rFonts w:hint="eastAsia" w:ascii="仿宋" w:hAnsi="仿宋" w:eastAsia="仿宋" w:cs="仿宋"/>
          <w:b w:val="0"/>
          <w:color w:val="auto"/>
          <w:sz w:val="24"/>
          <w:szCs w:val="24"/>
          <w:highlight w:val="none"/>
        </w:rPr>
        <w:t>需要补充的其他内容，见供应商须知前附表。</w:t>
      </w:r>
      <w:bookmarkEnd w:id="369"/>
      <w:bookmarkEnd w:id="370"/>
      <w:bookmarkEnd w:id="560"/>
    </w:p>
    <w:p w14:paraId="0C420CBA">
      <w:pPr>
        <w:rPr>
          <w:rStyle w:val="50"/>
          <w:rFonts w:hint="default" w:ascii="方正小标宋简体" w:hAnsi="黑体" w:eastAsia="方正小标宋简体" w:cs="仿宋"/>
          <w:b w:val="0"/>
          <w:color w:val="auto"/>
          <w:sz w:val="44"/>
          <w:szCs w:val="44"/>
          <w:highlight w:val="none"/>
        </w:rPr>
      </w:pPr>
      <w:bookmarkStart w:id="561" w:name="_Toc144907716"/>
      <w:r>
        <w:rPr>
          <w:rStyle w:val="50"/>
          <w:rFonts w:hint="default" w:ascii="方正小标宋简体" w:hAnsi="黑体" w:eastAsia="方正小标宋简体" w:cs="仿宋"/>
          <w:b w:val="0"/>
          <w:color w:val="auto"/>
          <w:sz w:val="44"/>
          <w:szCs w:val="44"/>
          <w:highlight w:val="none"/>
        </w:rPr>
        <w:br w:type="page"/>
      </w:r>
    </w:p>
    <w:p w14:paraId="2AFA9112">
      <w:pPr>
        <w:pStyle w:val="48"/>
        <w:numPr>
          <w:ilvl w:val="0"/>
          <w:numId w:val="1"/>
        </w:numPr>
        <w:spacing w:after="0"/>
        <w:jc w:val="center"/>
        <w:rPr>
          <w:rStyle w:val="50"/>
          <w:rFonts w:hint="eastAsia" w:ascii="仿宋" w:hAnsi="仿宋" w:eastAsia="仿宋" w:cs="仿宋"/>
          <w:b w:val="0"/>
          <w:color w:val="auto"/>
          <w:sz w:val="44"/>
          <w:szCs w:val="44"/>
          <w:highlight w:val="none"/>
        </w:rPr>
      </w:pPr>
      <w:r>
        <w:rPr>
          <w:rStyle w:val="50"/>
          <w:rFonts w:hint="eastAsia" w:ascii="仿宋" w:hAnsi="仿宋" w:eastAsia="仿宋" w:cs="仿宋"/>
          <w:b w:val="0"/>
          <w:color w:val="auto"/>
          <w:sz w:val="44"/>
          <w:szCs w:val="44"/>
          <w:highlight w:val="none"/>
        </w:rPr>
        <w:t>采购需求</w:t>
      </w:r>
      <w:bookmarkEnd w:id="355"/>
      <w:bookmarkEnd w:id="561"/>
    </w:p>
    <w:p w14:paraId="675A4EAD">
      <w:pPr>
        <w:pStyle w:val="7"/>
        <w:spacing w:beforeLines="50"/>
        <w:rPr>
          <w:rFonts w:hint="eastAsia" w:ascii="仿宋" w:hAnsi="仿宋" w:eastAsia="仿宋" w:cs="仿宋"/>
          <w:sz w:val="28"/>
          <w:szCs w:val="22"/>
        </w:rPr>
      </w:pPr>
      <w:bookmarkStart w:id="562" w:name="_Toc144907725"/>
      <w:bookmarkStart w:id="563" w:name="_Toc6877"/>
      <w:r>
        <w:rPr>
          <w:rFonts w:hint="eastAsia" w:ascii="仿宋" w:hAnsi="仿宋" w:eastAsia="仿宋" w:cs="仿宋"/>
          <w:sz w:val="28"/>
          <w:szCs w:val="22"/>
        </w:rPr>
        <w:t>一、采购需求前附表</w:t>
      </w:r>
    </w:p>
    <w:p w14:paraId="0FBC4275">
      <w:pPr>
        <w:rPr>
          <w:rFonts w:hint="eastAsia"/>
        </w:rPr>
      </w:pPr>
    </w:p>
    <w:tbl>
      <w:tblPr>
        <w:tblStyle w:val="30"/>
        <w:tblW w:w="51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2352"/>
        <w:gridCol w:w="6931"/>
      </w:tblGrid>
      <w:tr w14:paraId="1B8A0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25" w:type="pct"/>
            <w:noWrap w:val="0"/>
            <w:vAlign w:val="center"/>
          </w:tcPr>
          <w:p w14:paraId="7437224A">
            <w:pPr>
              <w:pStyle w:val="77"/>
              <w:pBdr>
                <w:bottom w:val="none" w:color="auto" w:sz="0" w:space="0"/>
              </w:pBdr>
              <w:tabs>
                <w:tab w:val="clear" w:pos="4153"/>
                <w:tab w:val="clear" w:pos="8306"/>
              </w:tabs>
              <w:adjustRightInd/>
              <w:spacing w:line="240" w:lineRule="auto"/>
              <w:textAlignment w:val="auto"/>
              <w:rPr>
                <w:rFonts w:hint="eastAsia" w:ascii="仿宋" w:hAnsi="仿宋" w:eastAsia="仿宋" w:cs="仿宋"/>
                <w:b/>
                <w:kern w:val="2"/>
                <w:sz w:val="28"/>
                <w:szCs w:val="28"/>
                <w:lang w:val="en-US" w:eastAsia="zh-CN"/>
              </w:rPr>
            </w:pPr>
            <w:r>
              <w:rPr>
                <w:rFonts w:hint="eastAsia" w:ascii="仿宋" w:hAnsi="仿宋" w:eastAsia="仿宋" w:cs="仿宋"/>
                <w:b/>
                <w:kern w:val="2"/>
                <w:sz w:val="28"/>
                <w:szCs w:val="28"/>
                <w:lang w:val="en-US" w:eastAsia="zh-CN"/>
              </w:rPr>
              <w:t>序号</w:t>
            </w:r>
          </w:p>
        </w:tc>
        <w:tc>
          <w:tcPr>
            <w:tcW w:w="1159" w:type="pct"/>
            <w:noWrap w:val="0"/>
            <w:vAlign w:val="center"/>
          </w:tcPr>
          <w:p w14:paraId="67C286F9">
            <w:pPr>
              <w:pStyle w:val="54"/>
              <w:widowControl w:val="0"/>
              <w:spacing w:before="0" w:beforeAutospacing="0" w:after="0" w:afterAutospacing="0" w:line="360" w:lineRule="auto"/>
              <w:rPr>
                <w:rFonts w:hint="eastAsia" w:ascii="仿宋" w:hAnsi="仿宋" w:eastAsia="仿宋" w:cs="仿宋"/>
                <w:bCs w:val="0"/>
              </w:rPr>
            </w:pPr>
            <w:r>
              <w:rPr>
                <w:rFonts w:hint="eastAsia" w:ascii="仿宋" w:hAnsi="仿宋" w:eastAsia="仿宋" w:cs="仿宋"/>
                <w:bCs w:val="0"/>
              </w:rPr>
              <w:t>条款名称</w:t>
            </w:r>
          </w:p>
        </w:tc>
        <w:tc>
          <w:tcPr>
            <w:tcW w:w="3415" w:type="pct"/>
            <w:noWrap w:val="0"/>
            <w:vAlign w:val="center"/>
          </w:tcPr>
          <w:p w14:paraId="17B150D3">
            <w:pPr>
              <w:pStyle w:val="54"/>
              <w:widowControl w:val="0"/>
              <w:spacing w:before="0" w:beforeAutospacing="0" w:after="0" w:afterAutospacing="0" w:line="360" w:lineRule="auto"/>
              <w:rPr>
                <w:rFonts w:hint="eastAsia" w:ascii="仿宋" w:hAnsi="仿宋" w:eastAsia="仿宋" w:cs="仿宋"/>
                <w:bCs w:val="0"/>
              </w:rPr>
            </w:pPr>
            <w:r>
              <w:rPr>
                <w:rFonts w:hint="eastAsia" w:ascii="仿宋" w:hAnsi="仿宋" w:eastAsia="仿宋" w:cs="仿宋"/>
                <w:bCs w:val="0"/>
              </w:rPr>
              <w:t>内容、说明与要求</w:t>
            </w:r>
          </w:p>
        </w:tc>
      </w:tr>
      <w:tr w14:paraId="54BE9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25" w:type="pct"/>
            <w:noWrap w:val="0"/>
            <w:vAlign w:val="center"/>
          </w:tcPr>
          <w:p w14:paraId="3BFA2829">
            <w:pPr>
              <w:pStyle w:val="77"/>
              <w:pBdr>
                <w:bottom w:val="none" w:color="auto" w:sz="0" w:space="0"/>
              </w:pBdr>
              <w:tabs>
                <w:tab w:val="clear" w:pos="4153"/>
                <w:tab w:val="clear" w:pos="8306"/>
              </w:tabs>
              <w:adjustRightInd/>
              <w:spacing w:line="240" w:lineRule="auto"/>
              <w:textAlignment w:val="auto"/>
              <w:rPr>
                <w:rFonts w:hint="eastAsia" w:ascii="仿宋" w:hAnsi="仿宋" w:eastAsia="仿宋" w:cs="仿宋"/>
                <w:bCs/>
                <w:color w:val="000000" w:themeColor="text1"/>
                <w:kern w:val="2"/>
                <w:sz w:val="28"/>
                <w:szCs w:val="28"/>
                <w:highlight w:val="none"/>
                <w:lang w:val="en-US" w:eastAsia="zh-CN"/>
                <w14:textFill>
                  <w14:solidFill>
                    <w14:schemeClr w14:val="tx1"/>
                  </w14:solidFill>
                </w14:textFill>
              </w:rPr>
            </w:pPr>
            <w:r>
              <w:rPr>
                <w:rFonts w:hint="eastAsia" w:ascii="仿宋" w:hAnsi="仿宋" w:eastAsia="仿宋" w:cs="仿宋"/>
                <w:bCs/>
                <w:color w:val="000000" w:themeColor="text1"/>
                <w:kern w:val="2"/>
                <w:sz w:val="28"/>
                <w:szCs w:val="28"/>
                <w:highlight w:val="none"/>
                <w:lang w:val="en-US" w:eastAsia="zh-CN"/>
                <w14:textFill>
                  <w14:solidFill>
                    <w14:schemeClr w14:val="tx1"/>
                  </w14:solidFill>
                </w14:textFill>
              </w:rPr>
              <w:t>1</w:t>
            </w:r>
          </w:p>
        </w:tc>
        <w:tc>
          <w:tcPr>
            <w:tcW w:w="1159" w:type="pct"/>
            <w:noWrap w:val="0"/>
            <w:vAlign w:val="center"/>
          </w:tcPr>
          <w:p w14:paraId="6722AB63">
            <w:pPr>
              <w:pStyle w:val="54"/>
              <w:widowControl w:val="0"/>
              <w:spacing w:before="0" w:beforeAutospacing="0" w:after="0" w:afterAutospacing="0" w:line="360" w:lineRule="auto"/>
              <w:rPr>
                <w:rFonts w:hint="eastAsia" w:ascii="仿宋" w:hAnsi="仿宋" w:eastAsia="仿宋" w:cs="仿宋"/>
                <w:b w:val="0"/>
                <w:color w:val="000000" w:themeColor="text1"/>
                <w:highlight w:val="none"/>
                <w14:textFill>
                  <w14:solidFill>
                    <w14:schemeClr w14:val="tx1"/>
                  </w14:solidFill>
                </w14:textFill>
              </w:rPr>
            </w:pPr>
            <w:r>
              <w:rPr>
                <w:rFonts w:hint="eastAsia" w:ascii="仿宋" w:hAnsi="仿宋" w:eastAsia="仿宋" w:cs="仿宋"/>
                <w:b w:val="0"/>
                <w:color w:val="000000" w:themeColor="text1"/>
                <w:highlight w:val="none"/>
                <w14:textFill>
                  <w14:solidFill>
                    <w14:schemeClr w14:val="tx1"/>
                  </w14:solidFill>
                </w14:textFill>
              </w:rPr>
              <w:t>付款方式</w:t>
            </w:r>
          </w:p>
        </w:tc>
        <w:tc>
          <w:tcPr>
            <w:tcW w:w="3415" w:type="pct"/>
            <w:noWrap w:val="0"/>
            <w:vAlign w:val="center"/>
          </w:tcPr>
          <w:p w14:paraId="088F53F7">
            <w:pPr>
              <w:pStyle w:val="54"/>
              <w:widowControl w:val="0"/>
              <w:spacing w:before="0" w:beforeAutospacing="0" w:after="0" w:afterAutospacing="0" w:line="360" w:lineRule="auto"/>
              <w:jc w:val="both"/>
              <w:rPr>
                <w:rFonts w:hint="eastAsia" w:ascii="仿宋" w:hAnsi="仿宋" w:eastAsia="仿宋" w:cs="仿宋"/>
                <w:b w:val="0"/>
                <w:color w:val="000000" w:themeColor="text1"/>
                <w:highlight w:val="none"/>
                <w:u w:val="single"/>
                <w14:textFill>
                  <w14:solidFill>
                    <w14:schemeClr w14:val="tx1"/>
                  </w14:solidFill>
                </w14:textFill>
              </w:rPr>
            </w:pPr>
            <w:r>
              <w:rPr>
                <w:rFonts w:hint="eastAsia" w:ascii="仿宋" w:hAnsi="仿宋" w:eastAsia="仿宋" w:cs="仿宋"/>
                <w:b w:val="0"/>
                <w:bCs w:val="0"/>
                <w:color w:val="000000" w:themeColor="text1"/>
                <w:sz w:val="28"/>
                <w:szCs w:val="28"/>
                <w:highlight w:val="yellow"/>
                <w:lang w:val="en-US" w:eastAsia="zh-CN"/>
                <w14:textFill>
                  <w14:solidFill>
                    <w14:schemeClr w14:val="tx1"/>
                  </w14:solidFill>
                </w14:textFill>
              </w:rPr>
              <w:t>评审结束支付</w:t>
            </w:r>
            <w:r>
              <w:rPr>
                <w:rFonts w:hint="eastAsia" w:ascii="仿宋" w:hAnsi="仿宋" w:eastAsia="仿宋" w:cs="仿宋"/>
                <w:b w:val="0"/>
                <w:bCs w:val="0"/>
                <w:color w:val="000000" w:themeColor="text1"/>
                <w:sz w:val="28"/>
                <w:szCs w:val="28"/>
                <w:highlight w:val="yellow"/>
                <w:lang w:eastAsia="zh-CN"/>
                <w14:textFill>
                  <w14:solidFill>
                    <w14:schemeClr w14:val="tx1"/>
                  </w14:solidFill>
                </w14:textFill>
              </w:rPr>
              <w:t>至合同金额的80%，</w:t>
            </w:r>
            <w:r>
              <w:rPr>
                <w:rFonts w:hint="eastAsia" w:ascii="仿宋" w:hAnsi="仿宋" w:eastAsia="仿宋" w:cs="仿宋"/>
                <w:b w:val="0"/>
                <w:bCs w:val="0"/>
                <w:color w:val="000000" w:themeColor="text1"/>
                <w:sz w:val="28"/>
                <w:szCs w:val="28"/>
                <w:highlight w:val="yellow"/>
                <w:lang w:val="en-US" w:eastAsia="zh-CN"/>
                <w14:textFill>
                  <w14:solidFill>
                    <w14:schemeClr w14:val="tx1"/>
                  </w14:solidFill>
                </w14:textFill>
              </w:rPr>
              <w:t>取得批复</w:t>
            </w:r>
            <w:r>
              <w:rPr>
                <w:rFonts w:hint="eastAsia" w:ascii="仿宋" w:hAnsi="仿宋" w:eastAsia="仿宋" w:cs="仿宋"/>
                <w:b w:val="0"/>
                <w:bCs w:val="0"/>
                <w:color w:val="000000" w:themeColor="text1"/>
                <w:sz w:val="28"/>
                <w:szCs w:val="28"/>
                <w:highlight w:val="yellow"/>
                <w:lang w:eastAsia="zh-CN"/>
                <w14:textFill>
                  <w14:solidFill>
                    <w14:schemeClr w14:val="tx1"/>
                  </w14:solidFill>
                </w14:textFill>
              </w:rPr>
              <w:t>后支付至合同价款100% 。</w:t>
            </w:r>
          </w:p>
        </w:tc>
      </w:tr>
      <w:tr w14:paraId="0A60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25" w:type="pct"/>
            <w:noWrap w:val="0"/>
            <w:vAlign w:val="center"/>
          </w:tcPr>
          <w:p w14:paraId="4E01B324">
            <w:pPr>
              <w:pStyle w:val="77"/>
              <w:pBdr>
                <w:bottom w:val="none" w:color="auto" w:sz="0" w:space="0"/>
              </w:pBdr>
              <w:tabs>
                <w:tab w:val="clear" w:pos="4153"/>
                <w:tab w:val="clear" w:pos="8306"/>
              </w:tabs>
              <w:adjustRightInd/>
              <w:spacing w:line="240" w:lineRule="auto"/>
              <w:textAlignment w:val="auto"/>
              <w:rPr>
                <w:rFonts w:hint="eastAsia" w:ascii="仿宋" w:hAnsi="仿宋" w:eastAsia="仿宋" w:cs="仿宋"/>
                <w:bCs/>
                <w:color w:val="000000" w:themeColor="text1"/>
                <w:kern w:val="2"/>
                <w:sz w:val="28"/>
                <w:szCs w:val="28"/>
                <w:highlight w:val="none"/>
                <w:lang w:val="en-US" w:eastAsia="zh-CN"/>
                <w14:textFill>
                  <w14:solidFill>
                    <w14:schemeClr w14:val="tx1"/>
                  </w14:solidFill>
                </w14:textFill>
              </w:rPr>
            </w:pPr>
            <w:r>
              <w:rPr>
                <w:rFonts w:hint="eastAsia" w:ascii="仿宋" w:hAnsi="仿宋" w:eastAsia="仿宋" w:cs="仿宋"/>
                <w:bCs/>
                <w:color w:val="000000" w:themeColor="text1"/>
                <w:kern w:val="2"/>
                <w:sz w:val="28"/>
                <w:szCs w:val="28"/>
                <w:highlight w:val="none"/>
                <w:lang w:val="en-US" w:eastAsia="zh-CN"/>
                <w14:textFill>
                  <w14:solidFill>
                    <w14:schemeClr w14:val="tx1"/>
                  </w14:solidFill>
                </w14:textFill>
              </w:rPr>
              <w:t>2</w:t>
            </w:r>
          </w:p>
        </w:tc>
        <w:tc>
          <w:tcPr>
            <w:tcW w:w="1159" w:type="pct"/>
            <w:noWrap w:val="0"/>
            <w:vAlign w:val="center"/>
          </w:tcPr>
          <w:p w14:paraId="01801C31">
            <w:pPr>
              <w:pStyle w:val="54"/>
              <w:widowControl w:val="0"/>
              <w:spacing w:before="0" w:beforeAutospacing="0" w:after="0" w:afterAutospacing="0" w:line="360" w:lineRule="auto"/>
              <w:rPr>
                <w:rFonts w:hint="eastAsia" w:ascii="仿宋" w:hAnsi="仿宋" w:eastAsia="仿宋" w:cs="仿宋"/>
                <w:b w:val="0"/>
                <w:color w:val="000000" w:themeColor="text1"/>
                <w:highlight w:val="none"/>
                <w14:textFill>
                  <w14:solidFill>
                    <w14:schemeClr w14:val="tx1"/>
                  </w14:solidFill>
                </w14:textFill>
              </w:rPr>
            </w:pPr>
            <w:r>
              <w:rPr>
                <w:rFonts w:hint="eastAsia" w:ascii="仿宋" w:hAnsi="仿宋" w:eastAsia="仿宋" w:cs="仿宋"/>
                <w:b w:val="0"/>
                <w:color w:val="000000" w:themeColor="text1"/>
                <w:highlight w:val="none"/>
                <w14:textFill>
                  <w14:solidFill>
                    <w14:schemeClr w14:val="tx1"/>
                  </w14:solidFill>
                </w14:textFill>
              </w:rPr>
              <w:t>服务地点</w:t>
            </w:r>
          </w:p>
        </w:tc>
        <w:tc>
          <w:tcPr>
            <w:tcW w:w="3415" w:type="pct"/>
            <w:noWrap w:val="0"/>
            <w:vAlign w:val="center"/>
          </w:tcPr>
          <w:p w14:paraId="5B5CE72C">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采购人指定地点。</w:t>
            </w:r>
          </w:p>
        </w:tc>
      </w:tr>
      <w:tr w14:paraId="7C69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425" w:type="pct"/>
            <w:noWrap w:val="0"/>
            <w:vAlign w:val="center"/>
          </w:tcPr>
          <w:p w14:paraId="50585A38">
            <w:pPr>
              <w:pStyle w:val="77"/>
              <w:pBdr>
                <w:bottom w:val="none" w:color="auto" w:sz="0" w:space="0"/>
              </w:pBdr>
              <w:tabs>
                <w:tab w:val="clear" w:pos="4153"/>
                <w:tab w:val="clear" w:pos="8306"/>
              </w:tabs>
              <w:adjustRightInd/>
              <w:spacing w:line="240" w:lineRule="auto"/>
              <w:textAlignment w:val="auto"/>
              <w:rPr>
                <w:rFonts w:hint="eastAsia" w:ascii="仿宋" w:hAnsi="仿宋" w:eastAsia="仿宋" w:cs="仿宋"/>
                <w:bCs/>
                <w:color w:val="000000" w:themeColor="text1"/>
                <w:kern w:val="2"/>
                <w:sz w:val="28"/>
                <w:szCs w:val="28"/>
                <w:highlight w:val="none"/>
                <w:lang w:val="en-US" w:eastAsia="zh-CN"/>
                <w14:textFill>
                  <w14:solidFill>
                    <w14:schemeClr w14:val="tx1"/>
                  </w14:solidFill>
                </w14:textFill>
              </w:rPr>
            </w:pPr>
            <w:r>
              <w:rPr>
                <w:rFonts w:hint="eastAsia" w:ascii="仿宋" w:hAnsi="仿宋" w:eastAsia="仿宋" w:cs="仿宋"/>
                <w:bCs/>
                <w:color w:val="000000" w:themeColor="text1"/>
                <w:kern w:val="2"/>
                <w:sz w:val="28"/>
                <w:szCs w:val="28"/>
                <w:highlight w:val="none"/>
                <w:lang w:val="en-US" w:eastAsia="zh-CN"/>
                <w14:textFill>
                  <w14:solidFill>
                    <w14:schemeClr w14:val="tx1"/>
                  </w14:solidFill>
                </w14:textFill>
              </w:rPr>
              <w:t>3</w:t>
            </w:r>
          </w:p>
        </w:tc>
        <w:tc>
          <w:tcPr>
            <w:tcW w:w="1159" w:type="pct"/>
            <w:noWrap w:val="0"/>
            <w:vAlign w:val="center"/>
          </w:tcPr>
          <w:p w14:paraId="35935568">
            <w:pPr>
              <w:pStyle w:val="54"/>
              <w:widowControl w:val="0"/>
              <w:spacing w:before="0" w:beforeAutospacing="0" w:after="0" w:afterAutospacing="0" w:line="360" w:lineRule="auto"/>
              <w:rPr>
                <w:rFonts w:hint="eastAsia" w:ascii="仿宋" w:hAnsi="仿宋" w:eastAsia="仿宋" w:cs="仿宋"/>
                <w:b w:val="0"/>
                <w:color w:val="000000" w:themeColor="text1"/>
                <w:highlight w:val="none"/>
                <w14:textFill>
                  <w14:solidFill>
                    <w14:schemeClr w14:val="tx1"/>
                  </w14:solidFill>
                </w14:textFill>
              </w:rPr>
            </w:pPr>
            <w:r>
              <w:rPr>
                <w:rFonts w:hint="eastAsia" w:ascii="仿宋" w:hAnsi="仿宋" w:eastAsia="仿宋" w:cs="仿宋"/>
                <w:b w:val="0"/>
                <w:color w:val="000000" w:themeColor="text1"/>
                <w:highlight w:val="none"/>
                <w14:textFill>
                  <w14:solidFill>
                    <w14:schemeClr w14:val="tx1"/>
                  </w14:solidFill>
                </w14:textFill>
              </w:rPr>
              <w:t>合同履行期限</w:t>
            </w:r>
          </w:p>
        </w:tc>
        <w:tc>
          <w:tcPr>
            <w:tcW w:w="3415" w:type="pct"/>
            <w:noWrap w:val="0"/>
            <w:vAlign w:val="center"/>
          </w:tcPr>
          <w:p w14:paraId="00CD13F9">
            <w:pPr>
              <w:spacing w:line="360" w:lineRule="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180日</w:t>
            </w:r>
          </w:p>
        </w:tc>
      </w:tr>
    </w:tbl>
    <w:p w14:paraId="41C63E5F">
      <w:pPr>
        <w:pStyle w:val="29"/>
        <w:rPr>
          <w:rFonts w:hint="eastAsia"/>
          <w:color w:val="000000" w:themeColor="text1"/>
          <w:highlight w:val="none"/>
          <w:lang w:val="en-US" w:eastAsia="zh-CN"/>
          <w14:textFill>
            <w14:solidFill>
              <w14:schemeClr w14:val="tx1"/>
            </w14:solidFill>
          </w14:textFill>
        </w:rPr>
      </w:pPr>
    </w:p>
    <w:p w14:paraId="6DD9768C">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
          <w:bCs/>
          <w:color w:val="000000" w:themeColor="text1"/>
          <w:kern w:val="0"/>
          <w:sz w:val="28"/>
          <w:szCs w:val="28"/>
          <w:highlight w:val="none"/>
          <w:lang w:eastAsia="zh-CN" w:bidi="ar"/>
          <w14:textFill>
            <w14:solidFill>
              <w14:schemeClr w14:val="tx1"/>
            </w14:solidFill>
          </w14:textFill>
        </w:rPr>
      </w:pPr>
      <w:r>
        <w:rPr>
          <w:rFonts w:hint="eastAsia" w:ascii="仿宋" w:hAnsi="仿宋" w:eastAsia="仿宋" w:cs="仿宋"/>
          <w:b/>
          <w:bCs/>
          <w:color w:val="000000" w:themeColor="text1"/>
          <w:kern w:val="0"/>
          <w:sz w:val="28"/>
          <w:szCs w:val="28"/>
          <w:highlight w:val="none"/>
          <w:lang w:bidi="ar"/>
          <w14:textFill>
            <w14:solidFill>
              <w14:schemeClr w14:val="tx1"/>
            </w14:solidFill>
          </w14:textFill>
        </w:rPr>
        <w:t>二、服务</w:t>
      </w:r>
      <w:r>
        <w:rPr>
          <w:rFonts w:hint="eastAsia" w:ascii="仿宋" w:hAnsi="仿宋" w:eastAsia="仿宋" w:cs="仿宋"/>
          <w:b/>
          <w:bCs/>
          <w:color w:val="000000" w:themeColor="text1"/>
          <w:kern w:val="0"/>
          <w:sz w:val="28"/>
          <w:szCs w:val="28"/>
          <w:highlight w:val="none"/>
          <w:lang w:val="en-US" w:eastAsia="zh-CN" w:bidi="ar"/>
          <w14:textFill>
            <w14:solidFill>
              <w14:schemeClr w14:val="tx1"/>
            </w14:solidFill>
          </w14:textFill>
        </w:rPr>
        <w:t>内容</w:t>
      </w:r>
    </w:p>
    <w:p w14:paraId="157539BC">
      <w:pPr>
        <w:adjustRightInd w:val="0"/>
        <w:snapToGrid w:val="0"/>
        <w:spacing w:line="440" w:lineRule="exact"/>
        <w:ind w:firstLine="560" w:firstLineChars="200"/>
        <w:contextualSpacing/>
        <w:rPr>
          <w:rFonts w:hint="eastAsia" w:ascii="仿宋" w:hAnsi="Calibri" w:eastAsia="仿宋" w:cs="仿宋"/>
          <w:color w:val="000000"/>
          <w:sz w:val="28"/>
          <w:szCs w:val="28"/>
          <w:highlight w:val="none"/>
          <w:lang w:val="en-US" w:eastAsia="zh-CN"/>
        </w:rPr>
      </w:pPr>
      <w:r>
        <w:rPr>
          <w:rFonts w:hint="eastAsia" w:ascii="仿宋" w:hAnsi="Calibri" w:eastAsia="仿宋" w:cs="仿宋"/>
          <w:color w:val="000000"/>
          <w:sz w:val="28"/>
          <w:szCs w:val="28"/>
          <w:highlight w:val="none"/>
          <w:lang w:val="en-US" w:eastAsia="zh-CN"/>
        </w:rPr>
        <w:t>1、淮南牛肉汤检验检测中心建设项目</w:t>
      </w:r>
    </w:p>
    <w:p w14:paraId="2482A55F">
      <w:pPr>
        <w:adjustRightInd w:val="0"/>
        <w:snapToGrid w:val="0"/>
        <w:spacing w:line="440" w:lineRule="exact"/>
        <w:ind w:firstLine="560" w:firstLineChars="200"/>
        <w:contextualSpacing/>
        <w:rPr>
          <w:rFonts w:hint="eastAsia" w:ascii="仿宋" w:hAnsi="Calibri" w:eastAsia="仿宋" w:cs="仿宋"/>
          <w:color w:val="000000"/>
          <w:sz w:val="28"/>
          <w:szCs w:val="28"/>
          <w:highlight w:val="yellow"/>
          <w:lang w:val="en-US" w:eastAsia="zh-CN"/>
        </w:rPr>
      </w:pPr>
      <w:r>
        <w:rPr>
          <w:rFonts w:hint="eastAsia" w:ascii="仿宋" w:hAnsi="Calibri" w:eastAsia="仿宋" w:cs="仿宋"/>
          <w:color w:val="000000"/>
          <w:sz w:val="28"/>
          <w:szCs w:val="28"/>
          <w:highlight w:val="yellow"/>
          <w:lang w:val="en-US" w:eastAsia="zh-CN"/>
        </w:rPr>
        <w:t>根据采购人提供的项目基础资料及建设需求，完成项目初步设计文本和投资概算编制</w:t>
      </w:r>
      <w:r>
        <w:rPr>
          <w:rFonts w:hint="eastAsia" w:ascii="仿宋" w:hAnsi="Calibri" w:eastAsia="仿宋" w:cs="仿宋"/>
          <w:color w:val="auto"/>
          <w:sz w:val="28"/>
          <w:szCs w:val="28"/>
          <w:highlight w:val="yellow"/>
          <w:lang w:val="en-US" w:eastAsia="zh-CN"/>
        </w:rPr>
        <w:t>，协助编制项目市级申请报告；负</w:t>
      </w:r>
      <w:r>
        <w:rPr>
          <w:rFonts w:hint="eastAsia" w:ascii="仿宋" w:hAnsi="Calibri" w:eastAsia="仿宋" w:cs="仿宋"/>
          <w:color w:val="000000"/>
          <w:sz w:val="28"/>
          <w:szCs w:val="28"/>
          <w:highlight w:val="yellow"/>
          <w:lang w:val="en-US" w:eastAsia="zh-CN"/>
        </w:rPr>
        <w:t>责组织初步设计及概算评审，并根据采购人、评审专家及相关主管部门意见修改完善成果，配合完成报批等相关技术服务。</w:t>
      </w:r>
    </w:p>
    <w:p w14:paraId="175EE3ED">
      <w:pPr>
        <w:adjustRightInd w:val="0"/>
        <w:snapToGrid w:val="0"/>
        <w:spacing w:line="440" w:lineRule="exact"/>
        <w:ind w:firstLine="560" w:firstLineChars="200"/>
        <w:contextualSpacing/>
        <w:rPr>
          <w:rFonts w:hint="eastAsia" w:ascii="仿宋" w:hAnsi="Calibri" w:eastAsia="仿宋" w:cs="仿宋"/>
          <w:color w:val="000000"/>
          <w:sz w:val="28"/>
          <w:szCs w:val="28"/>
          <w:highlight w:val="none"/>
          <w:lang w:val="en-US" w:eastAsia="zh-CN"/>
        </w:rPr>
      </w:pPr>
      <w:r>
        <w:rPr>
          <w:rFonts w:hint="eastAsia" w:ascii="仿宋" w:hAnsi="Calibri" w:eastAsia="仿宋" w:cs="仿宋"/>
          <w:color w:val="000000"/>
          <w:sz w:val="28"/>
          <w:szCs w:val="28"/>
          <w:highlight w:val="none"/>
          <w:lang w:val="en-US" w:eastAsia="zh-CN"/>
        </w:rPr>
        <w:t>2、国家煤化工中心（淮南市质检所）重点工业产品检验检测设备更新项目（第二批）</w:t>
      </w:r>
    </w:p>
    <w:p w14:paraId="2AA955D9">
      <w:pPr>
        <w:adjustRightInd w:val="0"/>
        <w:snapToGrid w:val="0"/>
        <w:spacing w:line="440" w:lineRule="exact"/>
        <w:ind w:firstLine="560" w:firstLineChars="200"/>
        <w:contextualSpacing/>
        <w:rPr>
          <w:rFonts w:hint="eastAsia" w:ascii="仿宋" w:hAnsi="Calibri" w:eastAsia="仿宋" w:cs="仿宋"/>
          <w:color w:val="000000"/>
          <w:sz w:val="28"/>
          <w:szCs w:val="28"/>
          <w:highlight w:val="none"/>
          <w:lang w:val="en-US" w:eastAsia="zh-CN"/>
        </w:rPr>
      </w:pPr>
      <w:r>
        <w:rPr>
          <w:rFonts w:hint="eastAsia" w:ascii="仿宋" w:hAnsi="Calibri" w:eastAsia="仿宋" w:cs="仿宋"/>
          <w:color w:val="000000"/>
          <w:sz w:val="28"/>
          <w:szCs w:val="28"/>
          <w:highlight w:val="none"/>
          <w:lang w:val="en-US" w:eastAsia="zh-CN"/>
        </w:rPr>
        <w:t>结合现有检验检测能力、设备配置及更新需求，编制项目可行性研究报告及投资估算，编制项目初步设计文本、投资概算及初步设计图纸</w:t>
      </w:r>
      <w:r>
        <w:rPr>
          <w:rFonts w:hint="eastAsia" w:ascii="仿宋" w:eastAsia="仿宋" w:cs="仿宋"/>
          <w:color w:val="000000"/>
          <w:sz w:val="28"/>
          <w:szCs w:val="28"/>
          <w:highlight w:val="none"/>
          <w:lang w:val="en-US" w:eastAsia="zh-CN"/>
        </w:rPr>
        <w:t>，</w:t>
      </w:r>
      <w:r>
        <w:rPr>
          <w:rFonts w:hint="eastAsia" w:ascii="仿宋" w:hAnsi="Calibri" w:eastAsia="仿宋" w:cs="仿宋"/>
          <w:color w:val="000000"/>
          <w:sz w:val="28"/>
          <w:szCs w:val="28"/>
          <w:highlight w:val="none"/>
          <w:lang w:val="en-US" w:eastAsia="zh-CN"/>
        </w:rPr>
        <w:t>并根据项目申报方向</w:t>
      </w:r>
      <w:r>
        <w:rPr>
          <w:rFonts w:hint="eastAsia" w:ascii="仿宋" w:eastAsia="仿宋" w:cs="仿宋"/>
          <w:color w:val="000000"/>
          <w:sz w:val="28"/>
          <w:szCs w:val="28"/>
          <w:highlight w:val="none"/>
          <w:lang w:val="en-US" w:eastAsia="zh-CN"/>
        </w:rPr>
        <w:t>协助</w:t>
      </w:r>
      <w:r>
        <w:rPr>
          <w:rFonts w:hint="eastAsia" w:ascii="仿宋" w:hAnsi="Calibri" w:eastAsia="仿宋" w:cs="仿宋"/>
          <w:color w:val="000000"/>
          <w:sz w:val="28"/>
          <w:szCs w:val="28"/>
          <w:highlight w:val="none"/>
          <w:lang w:val="en-US" w:eastAsia="zh-CN"/>
        </w:rPr>
        <w:t>编制项目</w:t>
      </w:r>
      <w:r>
        <w:rPr>
          <w:rFonts w:hint="eastAsia" w:ascii="仿宋" w:eastAsia="仿宋" w:cs="仿宋"/>
          <w:color w:val="000000"/>
          <w:sz w:val="28"/>
          <w:szCs w:val="28"/>
          <w:highlight w:val="none"/>
          <w:lang w:val="en-US" w:eastAsia="zh-CN"/>
        </w:rPr>
        <w:t>资金申请报告</w:t>
      </w:r>
      <w:r>
        <w:rPr>
          <w:rFonts w:hint="eastAsia" w:ascii="仿宋" w:hAnsi="Calibri" w:eastAsia="仿宋" w:cs="仿宋"/>
          <w:color w:val="000000"/>
          <w:sz w:val="28"/>
          <w:szCs w:val="28"/>
          <w:highlight w:val="none"/>
          <w:lang w:val="en-US" w:eastAsia="zh-CN"/>
        </w:rPr>
        <w:t>；</w:t>
      </w:r>
      <w:r>
        <w:rPr>
          <w:rFonts w:hint="eastAsia" w:ascii="仿宋" w:eastAsia="仿宋" w:cs="仿宋"/>
          <w:color w:val="000000"/>
          <w:sz w:val="28"/>
          <w:szCs w:val="28"/>
          <w:highlight w:val="none"/>
          <w:lang w:val="en-US" w:eastAsia="zh-CN"/>
        </w:rPr>
        <w:t>负责</w:t>
      </w:r>
      <w:r>
        <w:rPr>
          <w:rFonts w:hint="eastAsia" w:ascii="仿宋" w:hAnsi="Calibri" w:eastAsia="仿宋" w:cs="仿宋"/>
          <w:color w:val="000000"/>
          <w:sz w:val="28"/>
          <w:szCs w:val="28"/>
          <w:highlight w:val="none"/>
          <w:lang w:val="en-US" w:eastAsia="zh-CN"/>
        </w:rPr>
        <w:t>组织可行性研究和初步设计相关评审，根据采购人、评审专家及相关主管部门意见修改完善成果，配合完成项目申报、审批等相关技术服务。</w:t>
      </w:r>
    </w:p>
    <w:p w14:paraId="6F460CEC">
      <w:pPr>
        <w:adjustRightInd w:val="0"/>
        <w:snapToGrid w:val="0"/>
        <w:spacing w:line="440" w:lineRule="exact"/>
        <w:ind w:firstLine="560" w:firstLineChars="200"/>
        <w:contextualSpacing/>
        <w:rPr>
          <w:rFonts w:hint="eastAsia" w:ascii="仿宋" w:hAnsi="Calibri" w:eastAsia="仿宋" w:cs="仿宋"/>
          <w:color w:val="000000"/>
          <w:sz w:val="28"/>
          <w:szCs w:val="28"/>
          <w:highlight w:val="none"/>
          <w:lang w:val="en-US" w:eastAsia="zh-CN"/>
        </w:rPr>
      </w:pPr>
      <w:r>
        <w:rPr>
          <w:rFonts w:hint="eastAsia" w:ascii="仿宋" w:hAnsi="Calibri" w:eastAsia="仿宋" w:cs="仿宋"/>
          <w:color w:val="000000"/>
          <w:sz w:val="28"/>
          <w:szCs w:val="28"/>
          <w:highlight w:val="none"/>
          <w:lang w:val="en-US" w:eastAsia="zh-CN"/>
        </w:rPr>
        <w:t>3、</w:t>
      </w:r>
      <w:r>
        <w:rPr>
          <w:rFonts w:hint="eastAsia" w:ascii="仿宋" w:eastAsia="仿宋" w:cs="仿宋"/>
          <w:color w:val="000000"/>
          <w:sz w:val="28"/>
          <w:szCs w:val="28"/>
          <w:highlight w:val="none"/>
          <w:lang w:val="en-US" w:eastAsia="zh-CN"/>
        </w:rPr>
        <w:t>食品安全监管基础设施建设项目</w:t>
      </w:r>
    </w:p>
    <w:p w14:paraId="3D828567">
      <w:pPr>
        <w:adjustRightInd w:val="0"/>
        <w:snapToGrid w:val="0"/>
        <w:spacing w:line="440" w:lineRule="exact"/>
        <w:ind w:firstLine="560" w:firstLineChars="200"/>
        <w:contextualSpacing/>
        <w:rPr>
          <w:rFonts w:hint="eastAsia" w:ascii="仿宋" w:hAnsi="Calibri" w:eastAsia="仿宋" w:cs="仿宋"/>
          <w:color w:val="000000"/>
          <w:sz w:val="28"/>
          <w:szCs w:val="28"/>
          <w:highlight w:val="none"/>
          <w:lang w:val="en-US" w:eastAsia="zh-CN"/>
        </w:rPr>
      </w:pPr>
      <w:r>
        <w:rPr>
          <w:rFonts w:hint="eastAsia" w:ascii="仿宋" w:hAnsi="Calibri" w:eastAsia="仿宋" w:cs="仿宋"/>
          <w:color w:val="000000"/>
          <w:sz w:val="28"/>
          <w:szCs w:val="28"/>
          <w:highlight w:val="none"/>
          <w:lang w:val="en-US" w:eastAsia="zh-CN"/>
        </w:rPr>
        <w:t>结合食品安全检验检测能力建设需求，编制项目可行性研究报告及投资估算，编制初步设计文本和投资概算，并根据项目申报方向</w:t>
      </w:r>
      <w:r>
        <w:rPr>
          <w:rFonts w:hint="eastAsia" w:ascii="仿宋" w:eastAsia="仿宋" w:cs="仿宋"/>
          <w:color w:val="000000"/>
          <w:sz w:val="28"/>
          <w:szCs w:val="28"/>
          <w:highlight w:val="none"/>
          <w:lang w:val="en-US" w:eastAsia="zh-CN"/>
        </w:rPr>
        <w:t>协助</w:t>
      </w:r>
      <w:r>
        <w:rPr>
          <w:rFonts w:hint="eastAsia" w:ascii="仿宋" w:hAnsi="Calibri" w:eastAsia="仿宋" w:cs="仿宋"/>
          <w:color w:val="000000"/>
          <w:sz w:val="28"/>
          <w:szCs w:val="28"/>
          <w:highlight w:val="none"/>
          <w:lang w:val="en-US" w:eastAsia="zh-CN"/>
        </w:rPr>
        <w:t>编制项目</w:t>
      </w:r>
      <w:r>
        <w:rPr>
          <w:rFonts w:hint="eastAsia" w:ascii="仿宋" w:eastAsia="仿宋" w:cs="仿宋"/>
          <w:color w:val="000000"/>
          <w:sz w:val="28"/>
          <w:szCs w:val="28"/>
          <w:highlight w:val="none"/>
          <w:lang w:val="en-US" w:eastAsia="zh-CN"/>
        </w:rPr>
        <w:t>资金申请报告</w:t>
      </w:r>
      <w:r>
        <w:rPr>
          <w:rFonts w:hint="eastAsia" w:ascii="仿宋" w:hAnsi="Calibri" w:eastAsia="仿宋" w:cs="仿宋"/>
          <w:color w:val="000000"/>
          <w:sz w:val="28"/>
          <w:szCs w:val="28"/>
          <w:highlight w:val="none"/>
          <w:lang w:val="en-US" w:eastAsia="zh-CN"/>
        </w:rPr>
        <w:t>；负责组织可行性研究和初步设计相关评审，根据采购人、评审专家及相关主管部门意见修改完善成果，配合完成项目申报、审批等相关技术服务。</w:t>
      </w:r>
    </w:p>
    <w:p w14:paraId="02A6D84E">
      <w:pPr>
        <w:adjustRightInd w:val="0"/>
        <w:snapToGrid w:val="0"/>
        <w:spacing w:line="440" w:lineRule="exact"/>
        <w:ind w:firstLine="562" w:firstLineChars="200"/>
        <w:contextualSpacing/>
        <w:rPr>
          <w:rFonts w:hint="eastAsia" w:ascii="仿宋" w:hAnsi="Calibri" w:eastAsia="仿宋" w:cs="仿宋"/>
          <w:b/>
          <w:bCs/>
          <w:color w:val="000000"/>
          <w:sz w:val="28"/>
          <w:szCs w:val="28"/>
          <w:highlight w:val="none"/>
          <w:lang w:val="en-US" w:eastAsia="zh-CN"/>
        </w:rPr>
      </w:pPr>
      <w:r>
        <w:rPr>
          <w:rFonts w:hint="eastAsia" w:ascii="仿宋" w:hAnsi="Calibri" w:eastAsia="仿宋" w:cs="仿宋"/>
          <w:b/>
          <w:bCs/>
          <w:color w:val="000000"/>
          <w:sz w:val="28"/>
          <w:szCs w:val="28"/>
          <w:highlight w:val="none"/>
          <w:lang w:val="en-US" w:eastAsia="zh-CN"/>
        </w:rPr>
        <w:t>三、总体服务要求</w:t>
      </w:r>
    </w:p>
    <w:p w14:paraId="569CB366">
      <w:pPr>
        <w:adjustRightInd w:val="0"/>
        <w:snapToGrid w:val="0"/>
        <w:spacing w:line="440" w:lineRule="exact"/>
        <w:ind w:firstLine="560" w:firstLineChars="200"/>
        <w:contextualSpacing/>
        <w:rPr>
          <w:rFonts w:hint="eastAsia" w:ascii="仿宋" w:hAnsi="Calibri" w:eastAsia="仿宋" w:cs="仿宋"/>
          <w:color w:val="000000"/>
          <w:sz w:val="28"/>
          <w:szCs w:val="28"/>
          <w:lang w:val="en-US" w:eastAsia="zh-CN"/>
        </w:rPr>
      </w:pPr>
      <w:r>
        <w:rPr>
          <w:rFonts w:hint="eastAsia" w:ascii="仿宋" w:hAnsi="Calibri" w:eastAsia="仿宋" w:cs="仿宋"/>
          <w:color w:val="000000"/>
          <w:sz w:val="28"/>
          <w:szCs w:val="28"/>
          <w:highlight w:val="none"/>
          <w:lang w:val="en-US" w:eastAsia="zh-CN"/>
        </w:rPr>
        <w:t>1、供应商应根据各子项目实际需要开展现场踏勘、资料收集、现状分析和技术论证，充分掌握现有场地、实验室、设备设施、检验检测能力及建设需求。</w:t>
      </w:r>
    </w:p>
    <w:p w14:paraId="1A0FD2A9">
      <w:pPr>
        <w:adjustRightInd w:val="0"/>
        <w:snapToGrid w:val="0"/>
        <w:spacing w:line="440" w:lineRule="exact"/>
        <w:ind w:firstLine="560" w:firstLineChars="200"/>
        <w:contextualSpacing/>
        <w:rPr>
          <w:rFonts w:hint="eastAsia" w:ascii="仿宋" w:hAnsi="Calibri" w:eastAsia="仿宋" w:cs="仿宋"/>
          <w:color w:val="000000"/>
          <w:sz w:val="28"/>
          <w:szCs w:val="28"/>
          <w:lang w:val="en-US" w:eastAsia="zh-CN"/>
        </w:rPr>
      </w:pPr>
      <w:r>
        <w:rPr>
          <w:rFonts w:hint="eastAsia" w:ascii="仿宋" w:hAnsi="Calibri" w:eastAsia="仿宋" w:cs="仿宋"/>
          <w:color w:val="000000"/>
          <w:sz w:val="28"/>
          <w:szCs w:val="28"/>
          <w:lang w:val="en-US" w:eastAsia="zh-CN"/>
        </w:rPr>
        <w:t>2、可行性研究、初步设计、投资估算及概算、申报方案等成果应符合国家、安徽省及淮南市现行相关法律法规、政策、技术标准和项目审批要求，做到依据充分、内容完整、数据准确、建设内容与投资相互对应。</w:t>
      </w:r>
    </w:p>
    <w:p w14:paraId="5A66AEF4">
      <w:pPr>
        <w:adjustRightInd w:val="0"/>
        <w:snapToGrid w:val="0"/>
        <w:spacing w:line="440" w:lineRule="exact"/>
        <w:ind w:firstLine="560" w:firstLineChars="200"/>
        <w:contextualSpacing/>
        <w:rPr>
          <w:rFonts w:hint="eastAsia" w:ascii="仿宋" w:hAnsi="Calibri" w:eastAsia="仿宋" w:cs="仿宋"/>
          <w:color w:val="000000"/>
          <w:sz w:val="28"/>
          <w:szCs w:val="28"/>
          <w:lang w:val="en-US" w:eastAsia="zh-CN"/>
        </w:rPr>
      </w:pPr>
      <w:r>
        <w:rPr>
          <w:rFonts w:hint="eastAsia" w:ascii="仿宋" w:hAnsi="Calibri" w:eastAsia="仿宋" w:cs="仿宋"/>
          <w:color w:val="000000"/>
          <w:sz w:val="28"/>
          <w:szCs w:val="28"/>
          <w:lang w:val="en-US" w:eastAsia="zh-CN"/>
        </w:rPr>
        <w:t>3、供应商负责本采购范围内相关成果的评审组织工作，包括评审资料准备、专家评审组织、汇报答疑、评审意见整理及成果修改完善。相关评审组织及专家评审费用应包含在响应报价中。</w:t>
      </w:r>
    </w:p>
    <w:p w14:paraId="57ED4A25">
      <w:pPr>
        <w:adjustRightInd w:val="0"/>
        <w:snapToGrid w:val="0"/>
        <w:spacing w:line="440" w:lineRule="exact"/>
        <w:ind w:firstLine="560" w:firstLineChars="200"/>
        <w:contextualSpacing/>
        <w:rPr>
          <w:rFonts w:hint="eastAsia" w:ascii="仿宋" w:hAnsi="Calibri" w:eastAsia="仿宋" w:cs="仿宋"/>
          <w:color w:val="000000"/>
          <w:sz w:val="28"/>
          <w:szCs w:val="28"/>
          <w:lang w:val="en-US" w:eastAsia="zh-CN"/>
        </w:rPr>
      </w:pPr>
      <w:r>
        <w:rPr>
          <w:rFonts w:hint="eastAsia" w:ascii="仿宋" w:hAnsi="Calibri" w:eastAsia="仿宋" w:cs="仿宋"/>
          <w:color w:val="000000"/>
          <w:sz w:val="28"/>
          <w:szCs w:val="28"/>
          <w:lang w:val="en-US" w:eastAsia="zh-CN"/>
        </w:rPr>
        <w:t>4、服务期内应根据采购人及主管部门要求，提供项目汇报、技术答疑、成果修改、申报及审批配合等后续服务，直至相关成果满足采购人使用及报批要求。</w:t>
      </w:r>
    </w:p>
    <w:p w14:paraId="6527F82B">
      <w:pPr>
        <w:adjustRightInd w:val="0"/>
        <w:snapToGrid w:val="0"/>
        <w:spacing w:line="440" w:lineRule="exact"/>
        <w:ind w:firstLine="562" w:firstLineChars="200"/>
        <w:contextualSpacing/>
        <w:rPr>
          <w:rFonts w:hint="eastAsia" w:ascii="仿宋" w:hAnsi="Calibri" w:eastAsia="仿宋" w:cs="仿宋"/>
          <w:b/>
          <w:bCs/>
          <w:color w:val="000000"/>
          <w:sz w:val="28"/>
          <w:szCs w:val="28"/>
          <w:lang w:val="en-US" w:eastAsia="zh-CN"/>
        </w:rPr>
      </w:pPr>
      <w:r>
        <w:rPr>
          <w:rFonts w:hint="eastAsia" w:ascii="仿宋" w:hAnsi="Calibri" w:eastAsia="仿宋" w:cs="仿宋"/>
          <w:b/>
          <w:bCs/>
          <w:color w:val="000000"/>
          <w:sz w:val="28"/>
          <w:szCs w:val="28"/>
          <w:lang w:val="en-US" w:eastAsia="zh-CN"/>
        </w:rPr>
        <w:t>四、成果提交及服务期限</w:t>
      </w:r>
    </w:p>
    <w:p w14:paraId="029279C8">
      <w:pPr>
        <w:adjustRightInd w:val="0"/>
        <w:snapToGrid w:val="0"/>
        <w:spacing w:line="440" w:lineRule="exact"/>
        <w:ind w:firstLine="560" w:firstLineChars="200"/>
        <w:contextualSpacing/>
        <w:rPr>
          <w:rFonts w:hint="eastAsia" w:ascii="仿宋" w:hAnsi="Calibri" w:eastAsia="仿宋" w:cs="仿宋"/>
          <w:color w:val="000000"/>
          <w:sz w:val="28"/>
          <w:szCs w:val="28"/>
          <w:lang w:val="en-US" w:eastAsia="zh-CN"/>
        </w:rPr>
      </w:pPr>
      <w:r>
        <w:rPr>
          <w:rFonts w:hint="eastAsia" w:ascii="仿宋" w:hAnsi="Calibri" w:eastAsia="仿宋" w:cs="仿宋"/>
          <w:color w:val="000000"/>
          <w:sz w:val="28"/>
          <w:szCs w:val="28"/>
          <w:lang w:val="en-US" w:eastAsia="zh-CN"/>
        </w:rPr>
        <w:t>1、成果应按采购人要求提交纸质版及电子版，电子成果原则上应包括可编辑源文件及正式电子版文件，投资估算、概算应同时提供相关计算文件。</w:t>
      </w:r>
    </w:p>
    <w:p w14:paraId="701B7886">
      <w:pPr>
        <w:rPr>
          <w:rStyle w:val="50"/>
          <w:rFonts w:hint="eastAsia" w:ascii="仿宋" w:hAnsi="仿宋" w:eastAsia="仿宋" w:cs="仿宋"/>
          <w:b w:val="0"/>
          <w:color w:val="auto"/>
          <w:sz w:val="44"/>
          <w:szCs w:val="44"/>
          <w:highlight w:val="none"/>
        </w:rPr>
      </w:pPr>
      <w:r>
        <w:rPr>
          <w:rFonts w:hint="eastAsia" w:ascii="仿宋" w:hAnsi="Calibri" w:eastAsia="仿宋" w:cs="仿宋"/>
          <w:color w:val="000000"/>
          <w:sz w:val="28"/>
          <w:szCs w:val="28"/>
          <w:lang w:val="en-US" w:eastAsia="zh-CN"/>
        </w:rPr>
        <w:t>2、合同履行期限</w:t>
      </w:r>
      <w:r>
        <w:rPr>
          <w:rFonts w:hint="eastAsia" w:ascii="仿宋" w:hAnsi="Calibri" w:eastAsia="仿宋" w:cs="仿宋"/>
          <w:color w:val="000000"/>
          <w:sz w:val="28"/>
          <w:szCs w:val="28"/>
          <w:highlight w:val="none"/>
          <w:lang w:val="en-US" w:eastAsia="zh-CN"/>
        </w:rPr>
        <w:t>为</w:t>
      </w:r>
      <w:r>
        <w:rPr>
          <w:rFonts w:hint="eastAsia" w:ascii="仿宋" w:eastAsia="仿宋" w:cs="仿宋"/>
          <w:color w:val="000000"/>
          <w:sz w:val="28"/>
          <w:szCs w:val="28"/>
          <w:highlight w:val="none"/>
          <w:lang w:val="en-US" w:eastAsia="zh-CN"/>
        </w:rPr>
        <w:t>180</w:t>
      </w:r>
      <w:r>
        <w:rPr>
          <w:rFonts w:hint="eastAsia" w:ascii="仿宋" w:hAnsi="Calibri" w:eastAsia="仿宋" w:cs="仿宋"/>
          <w:color w:val="000000"/>
          <w:sz w:val="28"/>
          <w:szCs w:val="28"/>
          <w:highlight w:val="none"/>
          <w:lang w:val="en-US" w:eastAsia="zh-CN"/>
        </w:rPr>
        <w:t>日。各子</w:t>
      </w:r>
      <w:r>
        <w:rPr>
          <w:rFonts w:hint="eastAsia" w:ascii="仿宋" w:hAnsi="Calibri" w:eastAsia="仿宋" w:cs="仿宋"/>
          <w:color w:val="000000"/>
          <w:sz w:val="28"/>
          <w:szCs w:val="28"/>
          <w:lang w:val="en-US" w:eastAsia="zh-CN"/>
        </w:rPr>
        <w:t>项目具体成果提交节点由采购人结合项目申报、审批及实施计划确定，供应商应服从采购人统筹安排，确保按期完成。</w:t>
      </w:r>
      <w:r>
        <w:rPr>
          <w:rStyle w:val="50"/>
          <w:rFonts w:hint="eastAsia" w:ascii="仿宋" w:hAnsi="仿宋" w:eastAsia="仿宋" w:cs="仿宋"/>
          <w:b w:val="0"/>
          <w:color w:val="000000" w:themeColor="text1"/>
          <w:sz w:val="44"/>
          <w:szCs w:val="44"/>
          <w:highlight w:val="none"/>
          <w14:textFill>
            <w14:solidFill>
              <w14:schemeClr w14:val="tx1"/>
            </w14:solidFill>
          </w14:textFill>
        </w:rPr>
        <w:br w:type="page"/>
      </w:r>
    </w:p>
    <w:p w14:paraId="3599EF88">
      <w:pPr>
        <w:pStyle w:val="48"/>
        <w:spacing w:after="0"/>
        <w:jc w:val="center"/>
        <w:rPr>
          <w:rStyle w:val="50"/>
          <w:rFonts w:hint="eastAsia" w:ascii="仿宋" w:hAnsi="仿宋" w:eastAsia="仿宋" w:cs="仿宋"/>
          <w:b w:val="0"/>
          <w:color w:val="auto"/>
          <w:sz w:val="44"/>
          <w:szCs w:val="44"/>
          <w:highlight w:val="none"/>
          <w:lang w:eastAsia="zh-CN"/>
        </w:rPr>
      </w:pPr>
      <w:r>
        <w:rPr>
          <w:rStyle w:val="50"/>
          <w:rFonts w:hint="eastAsia" w:ascii="仿宋" w:hAnsi="仿宋" w:eastAsia="仿宋" w:cs="仿宋"/>
          <w:b w:val="0"/>
          <w:color w:val="auto"/>
          <w:sz w:val="44"/>
          <w:szCs w:val="44"/>
          <w:highlight w:val="none"/>
        </w:rPr>
        <w:t>第五章 评审方法和标准</w:t>
      </w:r>
      <w:bookmarkEnd w:id="562"/>
    </w:p>
    <w:p w14:paraId="1BF560B1">
      <w:pPr>
        <w:pStyle w:val="2"/>
        <w:spacing w:line="440" w:lineRule="exact"/>
        <w:ind w:firstLine="480" w:firstLineChars="200"/>
        <w:rPr>
          <w:rFonts w:hint="default" w:hAnsi="黑体" w:cs="仿宋"/>
          <w:b w:val="0"/>
          <w:color w:val="auto"/>
          <w:sz w:val="24"/>
          <w:szCs w:val="24"/>
          <w:highlight w:val="none"/>
        </w:rPr>
      </w:pPr>
      <w:bookmarkStart w:id="564" w:name="_Toc19002"/>
      <w:bookmarkEnd w:id="564"/>
      <w:bookmarkStart w:id="565" w:name="_Toc1450"/>
      <w:bookmarkEnd w:id="565"/>
      <w:bookmarkStart w:id="566" w:name="_Toc18470"/>
      <w:bookmarkEnd w:id="566"/>
      <w:bookmarkStart w:id="567" w:name="_Toc29916"/>
      <w:bookmarkEnd w:id="567"/>
      <w:bookmarkStart w:id="568" w:name="_Toc25584"/>
      <w:bookmarkEnd w:id="568"/>
      <w:bookmarkStart w:id="569" w:name="_Toc7795"/>
      <w:bookmarkEnd w:id="569"/>
      <w:bookmarkStart w:id="570" w:name="_Toc15111"/>
      <w:bookmarkEnd w:id="570"/>
      <w:bookmarkStart w:id="571" w:name="_Toc20047"/>
      <w:bookmarkEnd w:id="571"/>
      <w:bookmarkStart w:id="572" w:name="_Toc18525"/>
      <w:bookmarkEnd w:id="572"/>
      <w:bookmarkStart w:id="573" w:name="_Toc12747"/>
      <w:bookmarkEnd w:id="573"/>
      <w:bookmarkStart w:id="574" w:name="_Toc24785"/>
      <w:bookmarkEnd w:id="574"/>
      <w:bookmarkStart w:id="575" w:name="一、综合评分法"/>
      <w:bookmarkEnd w:id="575"/>
      <w:bookmarkStart w:id="576" w:name="_Toc17635"/>
      <w:bookmarkEnd w:id="576"/>
      <w:bookmarkStart w:id="577" w:name="_Toc1125"/>
      <w:bookmarkEnd w:id="577"/>
      <w:bookmarkStart w:id="578" w:name="_Toc22080"/>
      <w:bookmarkStart w:id="579" w:name="_Toc143443749"/>
      <w:bookmarkStart w:id="580" w:name="_Toc144907726"/>
      <w:bookmarkStart w:id="581" w:name="_Toc25485"/>
      <w:bookmarkStart w:id="582" w:name="_Toc31525"/>
      <w:bookmarkStart w:id="583" w:name="_Toc16256"/>
      <w:r>
        <w:rPr>
          <w:rFonts w:hAnsi="黑体" w:cs="仿宋"/>
          <w:b w:val="0"/>
          <w:color w:val="auto"/>
          <w:sz w:val="24"/>
          <w:szCs w:val="24"/>
          <w:highlight w:val="none"/>
        </w:rPr>
        <w:t>一、总则</w:t>
      </w:r>
      <w:bookmarkEnd w:id="578"/>
      <w:bookmarkEnd w:id="579"/>
      <w:bookmarkEnd w:id="580"/>
    </w:p>
    <w:p w14:paraId="02141263">
      <w:pPr>
        <w:pStyle w:val="2"/>
        <w:spacing w:line="440" w:lineRule="exact"/>
        <w:ind w:firstLine="480" w:firstLineChars="200"/>
        <w:rPr>
          <w:rFonts w:hint="default" w:ascii="仿宋" w:hAnsi="仿宋" w:eastAsia="仿宋" w:cs="仿宋"/>
          <w:b w:val="0"/>
          <w:color w:val="auto"/>
          <w:sz w:val="24"/>
          <w:szCs w:val="24"/>
          <w:highlight w:val="none"/>
        </w:rPr>
      </w:pPr>
      <w:bookmarkStart w:id="584" w:name="_Toc18889"/>
      <w:bookmarkEnd w:id="584"/>
      <w:bookmarkStart w:id="585" w:name="_Toc714"/>
      <w:bookmarkEnd w:id="585"/>
      <w:bookmarkStart w:id="586" w:name="_Toc9919"/>
      <w:bookmarkEnd w:id="586"/>
      <w:bookmarkStart w:id="587" w:name="_Toc13048"/>
      <w:bookmarkEnd w:id="587"/>
      <w:bookmarkStart w:id="588" w:name="_Toc143443750"/>
      <w:bookmarkStart w:id="589" w:name="_Toc144907727"/>
      <w:bookmarkStart w:id="590" w:name="_Toc10787"/>
      <w:r>
        <w:rPr>
          <w:rFonts w:ascii="仿宋" w:hAnsi="仿宋" w:eastAsia="仿宋" w:cs="仿宋"/>
          <w:b w:val="0"/>
          <w:bCs/>
          <w:color w:val="auto"/>
          <w:sz w:val="24"/>
          <w:szCs w:val="24"/>
          <w:highlight w:val="none"/>
        </w:rPr>
        <w:t>第一条</w:t>
      </w:r>
      <w:r>
        <w:rPr>
          <w:rFonts w:ascii="仿宋" w:hAnsi="仿宋" w:eastAsia="仿宋" w:cs="仿宋"/>
          <w:b w:val="0"/>
          <w:color w:val="auto"/>
          <w:sz w:val="24"/>
          <w:szCs w:val="24"/>
          <w:highlight w:val="none"/>
        </w:rPr>
        <w:t xml:space="preserve"> 为了做好本项目招标评标工作，保证项目评审工作的正常有序进行，维护采购人、供应商的合法权益，依据《中华人民共和国政府采购法》等相关法律法规，本着公开、公平、公正的原则，制定评标办法。</w:t>
      </w:r>
      <w:bookmarkEnd w:id="588"/>
      <w:bookmarkEnd w:id="589"/>
      <w:bookmarkEnd w:id="590"/>
    </w:p>
    <w:p w14:paraId="5CCBF96C">
      <w:pPr>
        <w:pStyle w:val="2"/>
        <w:spacing w:line="440" w:lineRule="exact"/>
        <w:ind w:firstLine="480" w:firstLineChars="200"/>
        <w:rPr>
          <w:rFonts w:hint="default" w:ascii="仿宋" w:hAnsi="仿宋" w:eastAsia="仿宋" w:cs="仿宋"/>
          <w:b w:val="0"/>
          <w:color w:val="auto"/>
          <w:sz w:val="24"/>
          <w:szCs w:val="24"/>
          <w:highlight w:val="none"/>
        </w:rPr>
      </w:pPr>
      <w:bookmarkStart w:id="591" w:name="_Toc18402"/>
      <w:bookmarkEnd w:id="591"/>
      <w:bookmarkStart w:id="592" w:name="_Toc7391"/>
      <w:bookmarkEnd w:id="592"/>
      <w:bookmarkStart w:id="593" w:name="_Toc15128"/>
      <w:bookmarkEnd w:id="593"/>
      <w:bookmarkStart w:id="594" w:name="_Toc572"/>
      <w:bookmarkEnd w:id="594"/>
      <w:bookmarkStart w:id="595" w:name="_Toc143443751"/>
      <w:bookmarkStart w:id="596" w:name="_Toc21292"/>
      <w:bookmarkStart w:id="597" w:name="_Toc144907728"/>
      <w:r>
        <w:rPr>
          <w:rFonts w:ascii="仿宋" w:hAnsi="仿宋" w:eastAsia="仿宋" w:cs="仿宋"/>
          <w:b w:val="0"/>
          <w:bCs/>
          <w:color w:val="auto"/>
          <w:sz w:val="24"/>
          <w:szCs w:val="24"/>
          <w:highlight w:val="none"/>
        </w:rPr>
        <w:t>第二条</w:t>
      </w:r>
      <w:r>
        <w:rPr>
          <w:rFonts w:ascii="仿宋" w:hAnsi="仿宋" w:eastAsia="仿宋" w:cs="仿宋"/>
          <w:b w:val="0"/>
          <w:color w:val="auto"/>
          <w:sz w:val="24"/>
          <w:szCs w:val="24"/>
          <w:highlight w:val="none"/>
        </w:rPr>
        <w:t xml:space="preserve"> 本项目采用综合评分对供应商标书的比较方法。</w:t>
      </w:r>
      <w:bookmarkEnd w:id="595"/>
      <w:bookmarkEnd w:id="596"/>
      <w:bookmarkEnd w:id="597"/>
    </w:p>
    <w:p w14:paraId="45640C52">
      <w:pPr>
        <w:pStyle w:val="2"/>
        <w:spacing w:line="440" w:lineRule="exact"/>
        <w:ind w:firstLine="480" w:firstLineChars="200"/>
        <w:rPr>
          <w:rFonts w:hint="default" w:ascii="仿宋" w:hAnsi="仿宋" w:eastAsia="仿宋" w:cs="仿宋"/>
          <w:b w:val="0"/>
          <w:color w:val="auto"/>
          <w:sz w:val="24"/>
          <w:szCs w:val="24"/>
          <w:highlight w:val="none"/>
        </w:rPr>
      </w:pPr>
      <w:bookmarkStart w:id="598" w:name="_Toc4905"/>
      <w:bookmarkEnd w:id="598"/>
      <w:bookmarkStart w:id="599" w:name="_Toc27443"/>
      <w:bookmarkEnd w:id="599"/>
      <w:bookmarkStart w:id="600" w:name="_Toc21928"/>
      <w:bookmarkEnd w:id="600"/>
      <w:bookmarkStart w:id="601" w:name="_Toc22808"/>
      <w:bookmarkEnd w:id="601"/>
      <w:bookmarkStart w:id="602" w:name="_Toc144907729"/>
      <w:bookmarkStart w:id="603" w:name="_Toc12135"/>
      <w:bookmarkStart w:id="604" w:name="_Toc143443752"/>
      <w:r>
        <w:rPr>
          <w:rFonts w:ascii="仿宋" w:hAnsi="仿宋" w:eastAsia="仿宋" w:cs="仿宋"/>
          <w:b w:val="0"/>
          <w:bCs/>
          <w:color w:val="auto"/>
          <w:sz w:val="24"/>
          <w:szCs w:val="24"/>
          <w:highlight w:val="none"/>
        </w:rPr>
        <w:t>第三条</w:t>
      </w:r>
      <w:r>
        <w:rPr>
          <w:rFonts w:ascii="仿宋" w:hAnsi="仿宋" w:eastAsia="仿宋" w:cs="仿宋"/>
          <w:b w:val="0"/>
          <w:color w:val="auto"/>
          <w:sz w:val="24"/>
          <w:szCs w:val="24"/>
          <w:highlight w:val="none"/>
        </w:rPr>
        <w:t xml:space="preserve"> 采购人负责抽取组织不少于3人组成的磋商小组，负责本项目的评标工作。</w:t>
      </w:r>
      <w:bookmarkEnd w:id="602"/>
      <w:bookmarkEnd w:id="603"/>
      <w:bookmarkEnd w:id="604"/>
    </w:p>
    <w:p w14:paraId="37370459">
      <w:pPr>
        <w:spacing w:line="440" w:lineRule="exact"/>
        <w:ind w:firstLine="480" w:firstLineChars="200"/>
        <w:rPr>
          <w:rFonts w:ascii="仿宋" w:hAnsi="仿宋" w:eastAsia="仿宋" w:cs="仿宋"/>
          <w:snapToGrid w:val="0"/>
          <w:color w:val="auto"/>
          <w:kern w:val="0"/>
          <w:sz w:val="24"/>
          <w:szCs w:val="24"/>
          <w:highlight w:val="none"/>
        </w:rPr>
      </w:pPr>
      <w:bookmarkStart w:id="605" w:name="_Toc23760"/>
      <w:bookmarkEnd w:id="605"/>
      <w:bookmarkStart w:id="606" w:name="_Toc448"/>
      <w:bookmarkEnd w:id="606"/>
      <w:bookmarkStart w:id="607" w:name="_Toc26615"/>
      <w:bookmarkEnd w:id="607"/>
      <w:bookmarkStart w:id="608" w:name="_Toc23231"/>
      <w:bookmarkEnd w:id="608"/>
      <w:bookmarkStart w:id="609" w:name="_Toc1118"/>
      <w:r>
        <w:rPr>
          <w:rFonts w:hint="eastAsia" w:ascii="仿宋" w:hAnsi="仿宋" w:eastAsia="仿宋" w:cs="仿宋"/>
          <w:bCs/>
          <w:color w:val="auto"/>
          <w:sz w:val="24"/>
          <w:szCs w:val="24"/>
          <w:highlight w:val="none"/>
        </w:rPr>
        <w:t>第四条</w:t>
      </w:r>
      <w:r>
        <w:rPr>
          <w:rFonts w:hint="eastAsia" w:ascii="仿宋" w:hAnsi="仿宋" w:eastAsia="仿宋" w:cs="仿宋"/>
          <w:color w:val="auto"/>
          <w:sz w:val="24"/>
          <w:szCs w:val="24"/>
          <w:highlight w:val="none"/>
        </w:rPr>
        <w:t xml:space="preserve"> </w:t>
      </w:r>
      <w:bookmarkEnd w:id="609"/>
      <w:r>
        <w:rPr>
          <w:rFonts w:hint="eastAsia" w:ascii="仿宋" w:hAnsi="仿宋" w:eastAsia="仿宋" w:cs="仿宋"/>
          <w:snapToGrid w:val="0"/>
          <w:color w:val="auto"/>
          <w:kern w:val="0"/>
          <w:sz w:val="24"/>
          <w:szCs w:val="24"/>
          <w:highlight w:val="none"/>
        </w:rPr>
        <w:t>磋商小组成员应当按照客观、公正、审慎的原则，根据磋商文件规定的评审程序、评审方法和评审标准进行独立评审。未实质性响应磋商文件的响应文件按无效响应处理，磋商小组应当告知提交响应文件的供应商。</w:t>
      </w:r>
    </w:p>
    <w:p w14:paraId="672A68D6">
      <w:pPr>
        <w:pStyle w:val="2"/>
        <w:spacing w:line="440" w:lineRule="exact"/>
        <w:ind w:firstLine="480" w:firstLineChars="200"/>
        <w:rPr>
          <w:rFonts w:hint="default" w:hAnsi="黑体" w:cs="仿宋"/>
          <w:b w:val="0"/>
          <w:color w:val="auto"/>
          <w:sz w:val="24"/>
          <w:szCs w:val="24"/>
          <w:highlight w:val="none"/>
        </w:rPr>
      </w:pPr>
      <w:bookmarkStart w:id="610" w:name="_Toc16972"/>
      <w:bookmarkEnd w:id="610"/>
      <w:bookmarkStart w:id="611" w:name="_Toc11185"/>
      <w:bookmarkEnd w:id="611"/>
      <w:bookmarkStart w:id="612" w:name="_Toc18647"/>
      <w:bookmarkEnd w:id="612"/>
      <w:bookmarkStart w:id="613" w:name="_Toc7345"/>
      <w:bookmarkEnd w:id="613"/>
      <w:bookmarkStart w:id="614" w:name="_Toc144907730"/>
      <w:bookmarkStart w:id="615" w:name="_Toc14707"/>
      <w:bookmarkStart w:id="616" w:name="_Toc143443753"/>
      <w:r>
        <w:rPr>
          <w:rFonts w:hAnsi="黑体" w:cs="仿宋"/>
          <w:b w:val="0"/>
          <w:color w:val="auto"/>
          <w:sz w:val="24"/>
          <w:szCs w:val="24"/>
          <w:highlight w:val="none"/>
        </w:rPr>
        <w:t>二、评审方法和标准</w:t>
      </w:r>
      <w:bookmarkEnd w:id="614"/>
      <w:bookmarkEnd w:id="615"/>
      <w:bookmarkEnd w:id="616"/>
    </w:p>
    <w:p w14:paraId="77ED274E">
      <w:pPr>
        <w:pStyle w:val="2"/>
        <w:spacing w:line="440" w:lineRule="exact"/>
        <w:ind w:firstLine="480" w:firstLineChars="200"/>
        <w:rPr>
          <w:rFonts w:hint="default" w:ascii="仿宋" w:hAnsi="仿宋" w:eastAsia="仿宋" w:cs="仿宋"/>
          <w:b w:val="0"/>
          <w:color w:val="auto"/>
          <w:sz w:val="24"/>
          <w:szCs w:val="24"/>
          <w:highlight w:val="none"/>
        </w:rPr>
      </w:pPr>
      <w:bookmarkStart w:id="617" w:name="_Toc1918"/>
      <w:bookmarkEnd w:id="617"/>
      <w:bookmarkStart w:id="618" w:name="_Toc15497"/>
      <w:bookmarkEnd w:id="618"/>
      <w:bookmarkStart w:id="619" w:name="_Toc6557"/>
      <w:bookmarkEnd w:id="619"/>
      <w:bookmarkStart w:id="620" w:name="_Toc18289"/>
      <w:bookmarkEnd w:id="620"/>
      <w:bookmarkStart w:id="621" w:name="_Toc144907731"/>
      <w:bookmarkStart w:id="622" w:name="_Toc143443754"/>
      <w:bookmarkStart w:id="623" w:name="_Toc27511"/>
      <w:r>
        <w:rPr>
          <w:rFonts w:ascii="仿宋" w:hAnsi="仿宋" w:eastAsia="仿宋" w:cs="仿宋"/>
          <w:b w:val="0"/>
          <w:bCs/>
          <w:color w:val="auto"/>
          <w:sz w:val="24"/>
          <w:szCs w:val="24"/>
          <w:highlight w:val="none"/>
        </w:rPr>
        <w:t>第五条</w:t>
      </w:r>
      <w:r>
        <w:rPr>
          <w:rFonts w:ascii="仿宋" w:hAnsi="仿宋" w:eastAsia="仿宋" w:cs="仿宋"/>
          <w:b w:val="0"/>
          <w:color w:val="auto"/>
          <w:sz w:val="24"/>
          <w:szCs w:val="24"/>
          <w:highlight w:val="none"/>
        </w:rPr>
        <w:t xml:space="preserve"> 磋商工作于开标后进行。</w:t>
      </w:r>
      <w:r>
        <w:rPr>
          <w:rFonts w:ascii="仿宋" w:hAnsi="仿宋" w:eastAsia="仿宋" w:cs="仿宋"/>
          <w:b w:val="0"/>
          <w:bCs/>
          <w:snapToGrid w:val="0"/>
          <w:color w:val="auto"/>
          <w:sz w:val="24"/>
          <w:szCs w:val="24"/>
          <w:highlight w:val="none"/>
        </w:rPr>
        <w:t>磋商小组</w:t>
      </w:r>
      <w:r>
        <w:rPr>
          <w:rFonts w:ascii="仿宋" w:hAnsi="仿宋" w:eastAsia="仿宋" w:cs="仿宋"/>
          <w:b w:val="0"/>
          <w:color w:val="auto"/>
          <w:sz w:val="24"/>
          <w:szCs w:val="24"/>
          <w:highlight w:val="none"/>
        </w:rPr>
        <w:t>应认真研究磋商文件，至少应了解和熟悉以下内容：</w:t>
      </w:r>
      <w:bookmarkEnd w:id="621"/>
      <w:bookmarkEnd w:id="622"/>
      <w:bookmarkEnd w:id="623"/>
    </w:p>
    <w:p w14:paraId="59043DD4">
      <w:pPr>
        <w:pStyle w:val="2"/>
        <w:spacing w:line="440" w:lineRule="exact"/>
        <w:ind w:firstLine="480" w:firstLineChars="200"/>
        <w:rPr>
          <w:rFonts w:hint="default" w:ascii="仿宋" w:hAnsi="仿宋" w:eastAsia="仿宋" w:cs="仿宋"/>
          <w:b w:val="0"/>
          <w:color w:val="auto"/>
          <w:sz w:val="24"/>
          <w:szCs w:val="24"/>
          <w:highlight w:val="none"/>
        </w:rPr>
      </w:pPr>
      <w:bookmarkStart w:id="624" w:name="_Toc6055"/>
      <w:bookmarkEnd w:id="624"/>
      <w:bookmarkStart w:id="625" w:name="_Toc26010"/>
      <w:bookmarkEnd w:id="625"/>
      <w:bookmarkStart w:id="626" w:name="_Toc21111"/>
      <w:bookmarkEnd w:id="626"/>
      <w:bookmarkStart w:id="627" w:name="_Toc27201"/>
      <w:bookmarkEnd w:id="627"/>
      <w:bookmarkStart w:id="628" w:name="_Toc143443755"/>
      <w:bookmarkStart w:id="629" w:name="_Toc144907732"/>
      <w:bookmarkStart w:id="630" w:name="_Toc23059"/>
      <w:r>
        <w:rPr>
          <w:rFonts w:ascii="仿宋" w:hAnsi="仿宋" w:eastAsia="仿宋" w:cs="仿宋"/>
          <w:b w:val="0"/>
          <w:color w:val="auto"/>
          <w:sz w:val="24"/>
          <w:szCs w:val="24"/>
          <w:highlight w:val="none"/>
        </w:rPr>
        <w:t>（一）采购的目标；</w:t>
      </w:r>
      <w:bookmarkEnd w:id="628"/>
      <w:bookmarkEnd w:id="629"/>
      <w:bookmarkEnd w:id="630"/>
    </w:p>
    <w:p w14:paraId="484809F2">
      <w:pPr>
        <w:pStyle w:val="2"/>
        <w:spacing w:line="440" w:lineRule="exact"/>
        <w:ind w:firstLine="480" w:firstLineChars="200"/>
        <w:rPr>
          <w:rFonts w:hint="default" w:ascii="仿宋" w:hAnsi="仿宋" w:eastAsia="仿宋" w:cs="仿宋"/>
          <w:b w:val="0"/>
          <w:color w:val="auto"/>
          <w:sz w:val="24"/>
          <w:szCs w:val="24"/>
          <w:highlight w:val="none"/>
        </w:rPr>
      </w:pPr>
      <w:bookmarkStart w:id="631" w:name="_Toc21325"/>
      <w:bookmarkEnd w:id="631"/>
      <w:bookmarkStart w:id="632" w:name="_Toc1104"/>
      <w:bookmarkEnd w:id="632"/>
      <w:bookmarkStart w:id="633" w:name="_Toc12542"/>
      <w:bookmarkEnd w:id="633"/>
      <w:bookmarkStart w:id="634" w:name="_Toc3703"/>
      <w:bookmarkEnd w:id="634"/>
      <w:bookmarkStart w:id="635" w:name="_Toc143443756"/>
      <w:bookmarkStart w:id="636" w:name="_Toc144907733"/>
      <w:bookmarkStart w:id="637" w:name="_Toc22268"/>
      <w:r>
        <w:rPr>
          <w:rFonts w:ascii="仿宋" w:hAnsi="仿宋" w:eastAsia="仿宋" w:cs="仿宋"/>
          <w:b w:val="0"/>
          <w:color w:val="auto"/>
          <w:sz w:val="24"/>
          <w:szCs w:val="24"/>
          <w:highlight w:val="none"/>
        </w:rPr>
        <w:t>（二）采购项目的范围和性质；</w:t>
      </w:r>
      <w:bookmarkEnd w:id="635"/>
      <w:bookmarkEnd w:id="636"/>
      <w:bookmarkEnd w:id="637"/>
    </w:p>
    <w:p w14:paraId="107DFF08">
      <w:pPr>
        <w:pStyle w:val="2"/>
        <w:spacing w:line="440" w:lineRule="exact"/>
        <w:ind w:firstLine="480" w:firstLineChars="200"/>
        <w:rPr>
          <w:rFonts w:hint="default" w:ascii="仿宋" w:hAnsi="仿宋" w:eastAsia="仿宋" w:cs="仿宋"/>
          <w:b w:val="0"/>
          <w:color w:val="auto"/>
          <w:sz w:val="24"/>
          <w:szCs w:val="24"/>
          <w:highlight w:val="none"/>
        </w:rPr>
      </w:pPr>
      <w:bookmarkStart w:id="638" w:name="_Toc32587"/>
      <w:bookmarkEnd w:id="638"/>
      <w:bookmarkStart w:id="639" w:name="_Toc10032"/>
      <w:bookmarkEnd w:id="639"/>
      <w:bookmarkStart w:id="640" w:name="_Toc6024"/>
      <w:bookmarkEnd w:id="640"/>
      <w:bookmarkStart w:id="641" w:name="_Toc32258"/>
      <w:bookmarkEnd w:id="641"/>
      <w:bookmarkStart w:id="642" w:name="_Toc144907734"/>
      <w:bookmarkStart w:id="643" w:name="_Toc16885"/>
      <w:bookmarkStart w:id="644" w:name="_Toc143443757"/>
      <w:r>
        <w:rPr>
          <w:rFonts w:ascii="仿宋" w:hAnsi="仿宋" w:eastAsia="仿宋" w:cs="仿宋"/>
          <w:b w:val="0"/>
          <w:color w:val="auto"/>
          <w:sz w:val="24"/>
          <w:szCs w:val="24"/>
          <w:highlight w:val="none"/>
        </w:rPr>
        <w:t>（三）磋商文件中规定的主要技术要求、标准和商务条款；</w:t>
      </w:r>
      <w:bookmarkEnd w:id="642"/>
      <w:bookmarkEnd w:id="643"/>
      <w:bookmarkEnd w:id="644"/>
    </w:p>
    <w:p w14:paraId="6F0D0111">
      <w:pPr>
        <w:pStyle w:val="2"/>
        <w:spacing w:line="440" w:lineRule="exact"/>
        <w:ind w:firstLine="480" w:firstLineChars="200"/>
        <w:rPr>
          <w:rFonts w:hint="default" w:ascii="仿宋" w:hAnsi="仿宋" w:eastAsia="仿宋" w:cs="仿宋"/>
          <w:b w:val="0"/>
          <w:color w:val="auto"/>
          <w:sz w:val="24"/>
          <w:szCs w:val="24"/>
          <w:highlight w:val="none"/>
        </w:rPr>
      </w:pPr>
      <w:bookmarkStart w:id="645" w:name="_Toc2759"/>
      <w:bookmarkEnd w:id="645"/>
      <w:bookmarkStart w:id="646" w:name="_Toc31853"/>
      <w:bookmarkEnd w:id="646"/>
      <w:bookmarkStart w:id="647" w:name="_Toc32558"/>
      <w:bookmarkEnd w:id="647"/>
      <w:bookmarkStart w:id="648" w:name="_Toc244"/>
      <w:bookmarkEnd w:id="648"/>
      <w:bookmarkStart w:id="649" w:name="_Toc144907735"/>
      <w:bookmarkStart w:id="650" w:name="_Toc26650"/>
      <w:bookmarkStart w:id="651" w:name="_Toc143443758"/>
      <w:r>
        <w:rPr>
          <w:rFonts w:ascii="仿宋" w:hAnsi="仿宋" w:eastAsia="仿宋" w:cs="仿宋"/>
          <w:b w:val="0"/>
          <w:color w:val="auto"/>
          <w:sz w:val="24"/>
          <w:szCs w:val="24"/>
          <w:highlight w:val="none"/>
        </w:rPr>
        <w:t>（四）磋商文件规定的评标标准、评标方法和在评标过程中考虑的相关因素。</w:t>
      </w:r>
      <w:bookmarkEnd w:id="649"/>
      <w:bookmarkEnd w:id="650"/>
      <w:bookmarkEnd w:id="651"/>
    </w:p>
    <w:p w14:paraId="10F10599">
      <w:pPr>
        <w:pStyle w:val="2"/>
        <w:spacing w:line="440" w:lineRule="exact"/>
        <w:ind w:firstLine="480" w:firstLineChars="200"/>
        <w:rPr>
          <w:rFonts w:hint="default" w:ascii="仿宋" w:hAnsi="仿宋" w:eastAsia="仿宋" w:cs="仿宋"/>
          <w:b w:val="0"/>
          <w:color w:val="auto"/>
          <w:sz w:val="24"/>
          <w:szCs w:val="24"/>
          <w:highlight w:val="none"/>
        </w:rPr>
      </w:pPr>
      <w:bookmarkStart w:id="652" w:name="_Toc16617"/>
      <w:bookmarkEnd w:id="652"/>
      <w:bookmarkStart w:id="653" w:name="_Toc7413"/>
      <w:bookmarkEnd w:id="653"/>
      <w:bookmarkStart w:id="654" w:name="_Toc17919"/>
      <w:bookmarkEnd w:id="654"/>
      <w:bookmarkStart w:id="655" w:name="_Toc31839"/>
      <w:bookmarkEnd w:id="655"/>
      <w:bookmarkStart w:id="656" w:name="_Toc143443759"/>
      <w:bookmarkStart w:id="657" w:name="_Toc23530"/>
      <w:bookmarkStart w:id="658" w:name="_Toc144907736"/>
      <w:r>
        <w:rPr>
          <w:rFonts w:ascii="仿宋" w:hAnsi="仿宋" w:eastAsia="仿宋" w:cs="仿宋"/>
          <w:b w:val="0"/>
          <w:bCs/>
          <w:color w:val="auto"/>
          <w:sz w:val="24"/>
          <w:szCs w:val="24"/>
          <w:highlight w:val="none"/>
        </w:rPr>
        <w:t>第六条</w:t>
      </w:r>
      <w:r>
        <w:rPr>
          <w:rFonts w:ascii="仿宋" w:hAnsi="仿宋" w:eastAsia="仿宋" w:cs="仿宋"/>
          <w:b w:val="0"/>
          <w:color w:val="auto"/>
          <w:sz w:val="24"/>
          <w:szCs w:val="24"/>
          <w:highlight w:val="none"/>
        </w:rPr>
        <w:t xml:space="preserve"> 有效投标应符合以下原则：</w:t>
      </w:r>
      <w:bookmarkEnd w:id="656"/>
      <w:bookmarkEnd w:id="657"/>
      <w:bookmarkEnd w:id="658"/>
    </w:p>
    <w:p w14:paraId="51AD3D9B">
      <w:pPr>
        <w:pStyle w:val="2"/>
        <w:spacing w:line="440" w:lineRule="exact"/>
        <w:ind w:firstLine="480" w:firstLineChars="200"/>
        <w:rPr>
          <w:rFonts w:hint="default" w:ascii="仿宋" w:hAnsi="仿宋" w:eastAsia="仿宋" w:cs="仿宋"/>
          <w:b w:val="0"/>
          <w:color w:val="auto"/>
          <w:sz w:val="24"/>
          <w:szCs w:val="24"/>
          <w:highlight w:val="none"/>
        </w:rPr>
      </w:pPr>
      <w:bookmarkStart w:id="659" w:name="_Toc16340"/>
      <w:bookmarkEnd w:id="659"/>
      <w:bookmarkStart w:id="660" w:name="_Toc28380"/>
      <w:bookmarkEnd w:id="660"/>
      <w:bookmarkStart w:id="661" w:name="_Toc4990"/>
      <w:bookmarkEnd w:id="661"/>
      <w:bookmarkStart w:id="662" w:name="_Toc16473"/>
      <w:bookmarkEnd w:id="662"/>
      <w:bookmarkStart w:id="663" w:name="_Toc144907737"/>
      <w:bookmarkStart w:id="664" w:name="_Toc15212"/>
      <w:bookmarkStart w:id="665" w:name="_Toc143443760"/>
      <w:r>
        <w:rPr>
          <w:rFonts w:ascii="仿宋" w:hAnsi="仿宋" w:eastAsia="仿宋" w:cs="仿宋"/>
          <w:b w:val="0"/>
          <w:color w:val="auto"/>
          <w:sz w:val="24"/>
          <w:szCs w:val="24"/>
          <w:highlight w:val="none"/>
        </w:rPr>
        <w:t>（一）满足磋商文件的实质性要求；</w:t>
      </w:r>
      <w:bookmarkEnd w:id="663"/>
      <w:bookmarkEnd w:id="664"/>
      <w:bookmarkEnd w:id="665"/>
    </w:p>
    <w:p w14:paraId="2778AB83">
      <w:pPr>
        <w:pStyle w:val="2"/>
        <w:spacing w:line="440" w:lineRule="exact"/>
        <w:ind w:firstLine="480" w:firstLineChars="200"/>
        <w:rPr>
          <w:rFonts w:hint="default" w:ascii="仿宋" w:hAnsi="仿宋" w:eastAsia="仿宋" w:cs="仿宋"/>
          <w:b w:val="0"/>
          <w:color w:val="auto"/>
          <w:sz w:val="24"/>
          <w:szCs w:val="24"/>
          <w:highlight w:val="none"/>
        </w:rPr>
      </w:pPr>
      <w:bookmarkStart w:id="666" w:name="_Toc22402"/>
      <w:bookmarkEnd w:id="666"/>
      <w:bookmarkStart w:id="667" w:name="_Toc32571"/>
      <w:bookmarkEnd w:id="667"/>
      <w:bookmarkStart w:id="668" w:name="_Toc11342"/>
      <w:bookmarkEnd w:id="668"/>
      <w:bookmarkStart w:id="669" w:name="_Toc27500"/>
      <w:bookmarkEnd w:id="669"/>
      <w:bookmarkStart w:id="670" w:name="_Toc144907738"/>
      <w:bookmarkStart w:id="671" w:name="_Toc143443761"/>
      <w:bookmarkStart w:id="672" w:name="_Toc25347"/>
      <w:r>
        <w:rPr>
          <w:rFonts w:ascii="仿宋" w:hAnsi="仿宋" w:eastAsia="仿宋" w:cs="仿宋"/>
          <w:b w:val="0"/>
          <w:color w:val="auto"/>
          <w:sz w:val="24"/>
          <w:szCs w:val="24"/>
          <w:highlight w:val="none"/>
        </w:rPr>
        <w:t>（二）无重大偏离、保留或采购人不能接受的附加条件；</w:t>
      </w:r>
      <w:bookmarkEnd w:id="670"/>
      <w:bookmarkEnd w:id="671"/>
      <w:bookmarkEnd w:id="672"/>
    </w:p>
    <w:p w14:paraId="44F26149">
      <w:pPr>
        <w:pStyle w:val="2"/>
        <w:spacing w:line="440" w:lineRule="exact"/>
        <w:ind w:firstLine="480" w:firstLineChars="200"/>
        <w:rPr>
          <w:rFonts w:hint="default" w:ascii="仿宋" w:hAnsi="仿宋" w:eastAsia="仿宋" w:cs="仿宋"/>
          <w:b w:val="0"/>
          <w:color w:val="auto"/>
          <w:sz w:val="24"/>
          <w:szCs w:val="24"/>
          <w:highlight w:val="none"/>
        </w:rPr>
      </w:pPr>
      <w:bookmarkStart w:id="673" w:name="_Toc925"/>
      <w:bookmarkEnd w:id="673"/>
      <w:bookmarkStart w:id="674" w:name="_Toc6697"/>
      <w:bookmarkEnd w:id="674"/>
      <w:bookmarkStart w:id="675" w:name="_Toc30753"/>
      <w:bookmarkEnd w:id="675"/>
      <w:bookmarkStart w:id="676" w:name="_Toc13021"/>
      <w:bookmarkEnd w:id="676"/>
      <w:bookmarkStart w:id="677" w:name="_Toc29974"/>
      <w:bookmarkStart w:id="678" w:name="_Toc144907739"/>
      <w:bookmarkStart w:id="679" w:name="_Toc143443762"/>
      <w:r>
        <w:rPr>
          <w:rFonts w:ascii="仿宋" w:hAnsi="仿宋" w:eastAsia="仿宋" w:cs="仿宋"/>
          <w:b w:val="0"/>
          <w:color w:val="auto"/>
          <w:sz w:val="24"/>
          <w:szCs w:val="24"/>
          <w:highlight w:val="none"/>
        </w:rPr>
        <w:t>（三）通过投标有效性评审；</w:t>
      </w:r>
      <w:bookmarkEnd w:id="677"/>
      <w:bookmarkEnd w:id="678"/>
      <w:bookmarkEnd w:id="679"/>
    </w:p>
    <w:p w14:paraId="5A3759AD">
      <w:pPr>
        <w:pStyle w:val="2"/>
        <w:spacing w:line="440" w:lineRule="exact"/>
        <w:ind w:firstLine="480" w:firstLineChars="200"/>
        <w:rPr>
          <w:rFonts w:hint="default" w:ascii="仿宋" w:hAnsi="仿宋" w:eastAsia="仿宋" w:cs="仿宋"/>
          <w:b w:val="0"/>
          <w:color w:val="auto"/>
          <w:sz w:val="24"/>
          <w:szCs w:val="24"/>
          <w:highlight w:val="none"/>
        </w:rPr>
      </w:pPr>
      <w:bookmarkStart w:id="680" w:name="_Toc3939"/>
      <w:bookmarkEnd w:id="680"/>
      <w:bookmarkStart w:id="681" w:name="_Toc24170"/>
      <w:bookmarkEnd w:id="681"/>
      <w:bookmarkStart w:id="682" w:name="_Toc24103"/>
      <w:bookmarkEnd w:id="682"/>
      <w:bookmarkStart w:id="683" w:name="_Toc5002"/>
      <w:bookmarkEnd w:id="683"/>
      <w:bookmarkStart w:id="684" w:name="_Toc143443763"/>
      <w:bookmarkStart w:id="685" w:name="_Toc12989"/>
      <w:bookmarkStart w:id="686" w:name="_Toc144907740"/>
      <w:r>
        <w:rPr>
          <w:rFonts w:ascii="仿宋" w:hAnsi="仿宋" w:eastAsia="仿宋" w:cs="仿宋"/>
          <w:b w:val="0"/>
          <w:color w:val="auto"/>
          <w:sz w:val="24"/>
          <w:szCs w:val="24"/>
          <w:highlight w:val="none"/>
        </w:rPr>
        <w:t>（四）磋商小组依据磋商文件认定的其他原则。</w:t>
      </w:r>
      <w:bookmarkEnd w:id="684"/>
      <w:bookmarkEnd w:id="685"/>
      <w:bookmarkEnd w:id="686"/>
    </w:p>
    <w:p w14:paraId="5B808B5B">
      <w:pPr>
        <w:adjustRightInd w:val="0"/>
        <w:snapToGrid w:val="0"/>
        <w:spacing w:line="440" w:lineRule="exact"/>
        <w:ind w:firstLine="480" w:firstLineChars="200"/>
        <w:rPr>
          <w:rFonts w:ascii="仿宋" w:hAnsi="仿宋" w:eastAsia="仿宋" w:cs="仿宋"/>
          <w:color w:val="auto"/>
          <w:sz w:val="24"/>
          <w:szCs w:val="24"/>
          <w:highlight w:val="none"/>
        </w:rPr>
      </w:pPr>
      <w:bookmarkStart w:id="687" w:name="_Toc4152"/>
      <w:bookmarkEnd w:id="687"/>
      <w:bookmarkStart w:id="688" w:name="_Toc7529"/>
      <w:bookmarkEnd w:id="688"/>
      <w:bookmarkStart w:id="689" w:name="_Toc7150"/>
      <w:bookmarkEnd w:id="689"/>
      <w:bookmarkStart w:id="690" w:name="_Toc30414"/>
      <w:bookmarkEnd w:id="690"/>
      <w:bookmarkStart w:id="691" w:name="_Toc9975"/>
      <w:bookmarkEnd w:id="691"/>
      <w:bookmarkStart w:id="692" w:name="_Toc7798"/>
      <w:bookmarkEnd w:id="692"/>
      <w:bookmarkStart w:id="693" w:name="_Toc1231"/>
      <w:bookmarkEnd w:id="693"/>
      <w:bookmarkStart w:id="694" w:name="_Toc18711"/>
      <w:bookmarkEnd w:id="694"/>
      <w:bookmarkStart w:id="695" w:name="_Toc14873"/>
      <w:bookmarkStart w:id="696" w:name="_Toc18878"/>
      <w:bookmarkStart w:id="697" w:name="_Toc5888"/>
      <w:bookmarkStart w:id="698" w:name="_Toc31584"/>
      <w:bookmarkStart w:id="699" w:name="_Toc28719"/>
      <w:r>
        <w:rPr>
          <w:rFonts w:hint="eastAsia" w:ascii="仿宋" w:hAnsi="仿宋" w:eastAsia="仿宋" w:cs="仿宋"/>
          <w:bCs/>
          <w:color w:val="auto"/>
          <w:sz w:val="24"/>
          <w:szCs w:val="24"/>
          <w:highlight w:val="none"/>
        </w:rPr>
        <w:t>第七条</w:t>
      </w:r>
      <w:r>
        <w:rPr>
          <w:rFonts w:hint="eastAsia" w:ascii="仿宋" w:hAnsi="仿宋" w:eastAsia="仿宋" w:cs="仿宋"/>
          <w:color w:val="auto"/>
          <w:sz w:val="24"/>
          <w:szCs w:val="24"/>
          <w:highlight w:val="none"/>
        </w:rPr>
        <w:t xml:space="preserve"> 评审中，</w:t>
      </w:r>
      <w:r>
        <w:rPr>
          <w:rFonts w:hint="eastAsia" w:ascii="仿宋" w:hAnsi="仿宋" w:eastAsia="仿宋" w:cs="仿宋"/>
          <w:snapToGrid w:val="0"/>
          <w:color w:val="auto"/>
          <w:kern w:val="0"/>
          <w:sz w:val="24"/>
          <w:szCs w:val="24"/>
          <w:highlight w:val="none"/>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r>
        <w:rPr>
          <w:rFonts w:hint="eastAsia" w:ascii="仿宋" w:hAnsi="仿宋" w:eastAsia="仿宋" w:cs="仿宋"/>
          <w:color w:val="auto"/>
          <w:sz w:val="24"/>
          <w:szCs w:val="24"/>
          <w:highlight w:val="none"/>
        </w:rPr>
        <w:t>。对于询标后判定为不符合磋商文件要求的磋商响应文件，磋商小组要提出充足的否定理由。最终对供应商的评审结论分为通过和未通过</w:t>
      </w:r>
      <w:bookmarkEnd w:id="695"/>
      <w:r>
        <w:rPr>
          <w:rFonts w:hint="eastAsia" w:ascii="仿宋" w:hAnsi="仿宋" w:eastAsia="仿宋" w:cs="仿宋"/>
          <w:color w:val="auto"/>
          <w:sz w:val="24"/>
          <w:szCs w:val="24"/>
          <w:highlight w:val="none"/>
        </w:rPr>
        <w:t>。</w:t>
      </w:r>
      <w:bookmarkEnd w:id="696"/>
    </w:p>
    <w:p w14:paraId="3C06A024">
      <w:pPr>
        <w:pStyle w:val="2"/>
        <w:spacing w:line="440" w:lineRule="exact"/>
        <w:ind w:firstLine="480" w:firstLineChars="200"/>
        <w:rPr>
          <w:rFonts w:ascii="仿宋" w:hAnsi="仿宋" w:eastAsia="仿宋" w:cs="仿宋"/>
          <w:b w:val="0"/>
          <w:bCs/>
          <w:color w:val="auto"/>
          <w:sz w:val="24"/>
          <w:szCs w:val="24"/>
          <w:highlight w:val="none"/>
        </w:rPr>
      </w:pPr>
      <w:bookmarkStart w:id="700" w:name="_Toc5335"/>
      <w:bookmarkEnd w:id="700"/>
      <w:bookmarkStart w:id="701" w:name="_Toc12298"/>
      <w:bookmarkEnd w:id="701"/>
      <w:bookmarkStart w:id="702" w:name="_Toc11483"/>
      <w:bookmarkStart w:id="703" w:name="_Toc11558"/>
      <w:bookmarkStart w:id="704" w:name="_Toc144907741"/>
      <w:bookmarkStart w:id="705" w:name="_Toc143443764"/>
      <w:bookmarkStart w:id="706" w:name="_Toc26318"/>
      <w:bookmarkStart w:id="707" w:name="_Toc2056"/>
      <w:bookmarkStart w:id="708" w:name="_Toc28486"/>
      <w:bookmarkStart w:id="709" w:name="_Toc31384"/>
      <w:r>
        <w:rPr>
          <w:rFonts w:ascii="仿宋" w:hAnsi="仿宋" w:eastAsia="仿宋" w:cs="仿宋"/>
          <w:b w:val="0"/>
          <w:bCs/>
          <w:color w:val="auto"/>
          <w:sz w:val="24"/>
          <w:szCs w:val="24"/>
          <w:highlight w:val="none"/>
        </w:rPr>
        <w:t>第八条</w:t>
      </w:r>
      <w:r>
        <w:rPr>
          <w:rFonts w:ascii="仿宋" w:hAnsi="仿宋" w:eastAsia="仿宋" w:cs="仿宋"/>
          <w:b w:val="0"/>
          <w:color w:val="auto"/>
          <w:sz w:val="24"/>
          <w:szCs w:val="24"/>
          <w:highlight w:val="none"/>
        </w:rPr>
        <w:t xml:space="preserve"> </w:t>
      </w:r>
      <w:r>
        <w:rPr>
          <w:rFonts w:ascii="仿宋" w:hAnsi="仿宋" w:eastAsia="仿宋" w:cs="仿宋"/>
          <w:b w:val="0"/>
          <w:bCs/>
          <w:color w:val="auto"/>
          <w:sz w:val="24"/>
          <w:szCs w:val="24"/>
          <w:highlight w:val="none"/>
        </w:rPr>
        <w:t>初步评审通过的供应商在（规定时间30分钟）进行二次或多轮报价，如未二轮报价或多轮报价，则以首轮报价为准，无特殊情况二次报价视为最终报价。如因供应商原因未及时报价，供应商自行承担一切后果。</w:t>
      </w:r>
      <w:bookmarkEnd w:id="702"/>
      <w:bookmarkEnd w:id="703"/>
      <w:bookmarkEnd w:id="704"/>
      <w:bookmarkEnd w:id="705"/>
      <w:bookmarkEnd w:id="706"/>
      <w:bookmarkEnd w:id="707"/>
      <w:bookmarkEnd w:id="708"/>
      <w:bookmarkEnd w:id="709"/>
      <w:bookmarkStart w:id="710" w:name="_Toc22398"/>
      <w:bookmarkEnd w:id="710"/>
      <w:bookmarkStart w:id="711" w:name="_Toc144907742"/>
      <w:bookmarkStart w:id="712" w:name="_Toc143443765"/>
    </w:p>
    <w:p w14:paraId="5DDA4078">
      <w:pPr>
        <w:pStyle w:val="2"/>
        <w:spacing w:line="440" w:lineRule="exact"/>
        <w:ind w:firstLine="480" w:firstLineChars="200"/>
        <w:rPr>
          <w:rFonts w:hint="default" w:ascii="仿宋" w:hAnsi="仿宋" w:eastAsia="仿宋" w:cs="仿宋"/>
          <w:b w:val="0"/>
          <w:bCs/>
          <w:color w:val="auto"/>
          <w:sz w:val="24"/>
          <w:szCs w:val="24"/>
          <w:highlight w:val="none"/>
        </w:rPr>
      </w:pPr>
      <w:r>
        <w:rPr>
          <w:rFonts w:ascii="仿宋" w:hAnsi="仿宋" w:eastAsia="仿宋" w:cs="仿宋"/>
          <w:b w:val="0"/>
          <w:color w:val="auto"/>
          <w:sz w:val="24"/>
          <w:szCs w:val="24"/>
          <w:highlight w:val="none"/>
        </w:rPr>
        <w:t>第九条</w:t>
      </w:r>
      <w:r>
        <w:rPr>
          <w:rFonts w:ascii="仿宋" w:hAnsi="仿宋" w:eastAsia="仿宋" w:cs="仿宋"/>
          <w:b w:val="0"/>
          <w:bCs/>
          <w:color w:val="auto"/>
          <w:sz w:val="24"/>
          <w:szCs w:val="24"/>
          <w:highlight w:val="none"/>
        </w:rPr>
        <w:t xml:space="preserve">  </w:t>
      </w:r>
      <w:bookmarkStart w:id="713" w:name="_Toc31329"/>
      <w:r>
        <w:rPr>
          <w:rFonts w:ascii="仿宋" w:hAnsi="仿宋" w:eastAsia="仿宋" w:cs="仿宋"/>
          <w:b w:val="0"/>
          <w:bCs/>
          <w:color w:val="auto"/>
          <w:sz w:val="24"/>
          <w:szCs w:val="24"/>
          <w:highlight w:val="none"/>
        </w:rPr>
        <w:t>磋商小组按下表内容进行投标有效性评审</w:t>
      </w:r>
      <w:bookmarkEnd w:id="711"/>
      <w:bookmarkEnd w:id="712"/>
      <w:bookmarkEnd w:id="713"/>
    </w:p>
    <w:bookmarkEnd w:id="697"/>
    <w:bookmarkEnd w:id="698"/>
    <w:bookmarkEnd w:id="699"/>
    <w:p w14:paraId="69ECA414">
      <w:pPr>
        <w:pStyle w:val="57"/>
        <w:numPr>
          <w:ilvl w:val="0"/>
          <w:numId w:val="0"/>
        </w:numPr>
        <w:autoSpaceDE w:val="0"/>
        <w:autoSpaceDN w:val="0"/>
        <w:adjustRightInd w:val="0"/>
        <w:snapToGrid w:val="0"/>
        <w:spacing w:line="440" w:lineRule="exact"/>
        <w:ind w:left="922" w:leftChars="0" w:hanging="360" w:firstLineChars="0"/>
        <w:rPr>
          <w:rFonts w:hint="default" w:ascii="仿宋" w:hAnsi="仿宋" w:eastAsia="仿宋" w:cs="仿宋"/>
          <w:b/>
          <w:bCs/>
          <w:color w:val="auto"/>
          <w:kern w:val="0"/>
          <w:sz w:val="24"/>
          <w:szCs w:val="24"/>
          <w:highlight w:val="none"/>
          <w:lang w:val="en-US" w:eastAsia="zh-CN" w:bidi="ar-SA"/>
        </w:rPr>
      </w:pPr>
    </w:p>
    <w:p w14:paraId="6051C789">
      <w:pPr>
        <w:pStyle w:val="57"/>
        <w:numPr>
          <w:ilvl w:val="0"/>
          <w:numId w:val="0"/>
        </w:numPr>
        <w:autoSpaceDE w:val="0"/>
        <w:autoSpaceDN w:val="0"/>
        <w:adjustRightInd w:val="0"/>
        <w:snapToGrid w:val="0"/>
        <w:spacing w:line="440" w:lineRule="exact"/>
        <w:ind w:left="922" w:leftChars="0" w:hanging="360" w:firstLineChars="0"/>
        <w:rPr>
          <w:rFonts w:ascii="仿宋" w:hAnsi="仿宋" w:eastAsia="仿宋" w:cs="仿宋"/>
          <w:b/>
          <w:bCs/>
          <w:color w:val="auto"/>
          <w:sz w:val="24"/>
          <w:szCs w:val="24"/>
          <w:highlight w:val="none"/>
        </w:rPr>
      </w:pPr>
      <w:r>
        <w:rPr>
          <w:rFonts w:hint="default" w:ascii="仿宋" w:hAnsi="仿宋" w:eastAsia="仿宋" w:cs="仿宋"/>
          <w:b/>
          <w:bCs/>
          <w:color w:val="auto"/>
          <w:kern w:val="0"/>
          <w:sz w:val="24"/>
          <w:szCs w:val="24"/>
          <w:highlight w:val="none"/>
          <w:lang w:val="en-US" w:eastAsia="zh-CN" w:bidi="ar-SA"/>
        </w:rPr>
        <w:t>1.</w:t>
      </w:r>
      <w:r>
        <w:rPr>
          <w:rFonts w:hint="eastAsia" w:ascii="仿宋" w:hAnsi="仿宋" w:eastAsia="仿宋" w:cs="仿宋"/>
          <w:b/>
          <w:bCs/>
          <w:color w:val="auto"/>
          <w:sz w:val="24"/>
          <w:szCs w:val="24"/>
          <w:highlight w:val="none"/>
        </w:rPr>
        <w:t>初步评审（资格、符合性评审）</w:t>
      </w:r>
    </w:p>
    <w:tbl>
      <w:tblPr>
        <w:tblStyle w:val="30"/>
        <w:tblW w:w="9499" w:type="dxa"/>
        <w:jc w:val="center"/>
        <w:tblLayout w:type="fixed"/>
        <w:tblCellMar>
          <w:top w:w="0" w:type="dxa"/>
          <w:left w:w="0" w:type="dxa"/>
          <w:bottom w:w="0" w:type="dxa"/>
          <w:right w:w="0" w:type="dxa"/>
        </w:tblCellMar>
      </w:tblPr>
      <w:tblGrid>
        <w:gridCol w:w="764"/>
        <w:gridCol w:w="3474"/>
        <w:gridCol w:w="5261"/>
      </w:tblGrid>
      <w:tr w14:paraId="0B359693">
        <w:tblPrEx>
          <w:tblCellMar>
            <w:top w:w="0" w:type="dxa"/>
            <w:left w:w="0" w:type="dxa"/>
            <w:bottom w:w="0" w:type="dxa"/>
            <w:right w:w="0" w:type="dxa"/>
          </w:tblCellMar>
        </w:tblPrEx>
        <w:trPr>
          <w:trHeight w:val="607" w:hRule="atLeast"/>
          <w:jc w:val="center"/>
        </w:trPr>
        <w:tc>
          <w:tcPr>
            <w:tcW w:w="764" w:type="dxa"/>
            <w:tcBorders>
              <w:top w:val="single" w:color="000000" w:sz="4" w:space="0"/>
              <w:left w:val="single" w:color="000000" w:sz="4" w:space="0"/>
              <w:bottom w:val="single" w:color="000000" w:sz="4" w:space="0"/>
              <w:right w:val="single" w:color="000000" w:sz="4" w:space="0"/>
            </w:tcBorders>
            <w:vAlign w:val="center"/>
          </w:tcPr>
          <w:p w14:paraId="561F36E2">
            <w:pPr>
              <w:pStyle w:val="2"/>
              <w:spacing w:line="440" w:lineRule="exact"/>
              <w:ind w:left="6" w:right="-109" w:rightChars="-52" w:hanging="6"/>
              <w:jc w:val="center"/>
              <w:rPr>
                <w:rFonts w:hint="default" w:ascii="仿宋" w:hAnsi="仿宋" w:eastAsia="仿宋" w:cs="仿宋"/>
                <w:b w:val="0"/>
                <w:color w:val="auto"/>
                <w:sz w:val="24"/>
                <w:szCs w:val="24"/>
                <w:highlight w:val="none"/>
              </w:rPr>
            </w:pPr>
            <w:bookmarkStart w:id="714" w:name="_Toc2432"/>
            <w:bookmarkEnd w:id="714"/>
            <w:bookmarkStart w:id="715" w:name="_Toc4061"/>
            <w:bookmarkEnd w:id="715"/>
            <w:bookmarkStart w:id="716" w:name="_Toc4755"/>
            <w:bookmarkEnd w:id="716"/>
            <w:bookmarkStart w:id="717" w:name="_Toc18399"/>
            <w:bookmarkEnd w:id="717"/>
            <w:bookmarkStart w:id="718" w:name="_Toc10985"/>
            <w:bookmarkEnd w:id="718"/>
            <w:bookmarkStart w:id="719" w:name="_Toc22276"/>
            <w:bookmarkEnd w:id="719"/>
            <w:bookmarkStart w:id="720" w:name="_Toc13777"/>
            <w:bookmarkEnd w:id="720"/>
            <w:bookmarkStart w:id="721" w:name="_Toc10159"/>
            <w:bookmarkEnd w:id="721"/>
            <w:bookmarkStart w:id="722" w:name="_Toc144907743"/>
            <w:bookmarkStart w:id="723" w:name="_Toc27408"/>
            <w:bookmarkStart w:id="724" w:name="_Toc143443766"/>
            <w:bookmarkStart w:id="725" w:name="_Toc11282"/>
            <w:r>
              <w:rPr>
                <w:rFonts w:ascii="仿宋" w:hAnsi="仿宋" w:eastAsia="仿宋" w:cs="仿宋"/>
                <w:b w:val="0"/>
                <w:color w:val="auto"/>
                <w:sz w:val="24"/>
                <w:szCs w:val="24"/>
                <w:highlight w:val="none"/>
              </w:rPr>
              <w:t>序号</w:t>
            </w:r>
            <w:bookmarkEnd w:id="722"/>
            <w:bookmarkEnd w:id="723"/>
            <w:bookmarkEnd w:id="724"/>
            <w:bookmarkEnd w:id="725"/>
          </w:p>
        </w:tc>
        <w:tc>
          <w:tcPr>
            <w:tcW w:w="3474" w:type="dxa"/>
            <w:tcBorders>
              <w:top w:val="single" w:color="000000" w:sz="4" w:space="0"/>
              <w:left w:val="single" w:color="000000" w:sz="4" w:space="0"/>
              <w:bottom w:val="single" w:color="000000" w:sz="4" w:space="0"/>
              <w:right w:val="single" w:color="000000" w:sz="4" w:space="0"/>
            </w:tcBorders>
            <w:vAlign w:val="center"/>
          </w:tcPr>
          <w:p w14:paraId="6D730F3F">
            <w:pPr>
              <w:pStyle w:val="2"/>
              <w:spacing w:line="440" w:lineRule="exact"/>
              <w:ind w:left="6" w:right="-109" w:rightChars="-52" w:hanging="6"/>
              <w:jc w:val="center"/>
              <w:rPr>
                <w:rFonts w:hint="default" w:ascii="仿宋" w:hAnsi="仿宋" w:eastAsia="仿宋" w:cs="仿宋"/>
                <w:b w:val="0"/>
                <w:color w:val="auto"/>
                <w:sz w:val="24"/>
                <w:szCs w:val="24"/>
                <w:highlight w:val="none"/>
              </w:rPr>
            </w:pPr>
            <w:bookmarkStart w:id="726" w:name="_Toc559"/>
            <w:bookmarkEnd w:id="726"/>
            <w:bookmarkStart w:id="727" w:name="_Toc21850"/>
            <w:bookmarkEnd w:id="727"/>
            <w:bookmarkStart w:id="728" w:name="_Toc26102"/>
            <w:bookmarkEnd w:id="728"/>
            <w:bookmarkStart w:id="729" w:name="_Toc29366"/>
            <w:bookmarkEnd w:id="729"/>
            <w:bookmarkStart w:id="730" w:name="_Toc10298"/>
            <w:bookmarkEnd w:id="730"/>
            <w:bookmarkStart w:id="731" w:name="_Toc17503"/>
            <w:bookmarkEnd w:id="731"/>
            <w:bookmarkStart w:id="732" w:name="_Toc14044"/>
            <w:bookmarkEnd w:id="732"/>
            <w:bookmarkStart w:id="733" w:name="_Toc30856"/>
            <w:bookmarkEnd w:id="733"/>
            <w:bookmarkStart w:id="734" w:name="_Toc9592"/>
            <w:bookmarkStart w:id="735" w:name="_Toc22299"/>
            <w:bookmarkStart w:id="736" w:name="_Toc143443767"/>
            <w:bookmarkStart w:id="737" w:name="_Toc144907744"/>
            <w:r>
              <w:rPr>
                <w:rFonts w:ascii="仿宋" w:hAnsi="仿宋" w:eastAsia="仿宋" w:cs="仿宋"/>
                <w:b w:val="0"/>
                <w:color w:val="auto"/>
                <w:sz w:val="24"/>
                <w:szCs w:val="24"/>
                <w:highlight w:val="none"/>
              </w:rPr>
              <w:t>指标名称</w:t>
            </w:r>
            <w:bookmarkEnd w:id="734"/>
            <w:bookmarkEnd w:id="735"/>
            <w:bookmarkEnd w:id="736"/>
            <w:bookmarkEnd w:id="737"/>
          </w:p>
        </w:tc>
        <w:tc>
          <w:tcPr>
            <w:tcW w:w="5261" w:type="dxa"/>
            <w:tcBorders>
              <w:top w:val="single" w:color="000000" w:sz="4" w:space="0"/>
              <w:left w:val="single" w:color="000000" w:sz="4" w:space="0"/>
              <w:bottom w:val="single" w:color="000000" w:sz="4" w:space="0"/>
              <w:right w:val="single" w:color="000000" w:sz="4" w:space="0"/>
            </w:tcBorders>
            <w:vAlign w:val="center"/>
          </w:tcPr>
          <w:p w14:paraId="7E8EA4DC">
            <w:pPr>
              <w:pStyle w:val="2"/>
              <w:keepNext w:val="0"/>
              <w:keepLines w:val="0"/>
              <w:pageBreakBefore w:val="0"/>
              <w:widowControl w:val="0"/>
              <w:kinsoku/>
              <w:wordWrap/>
              <w:overflowPunct/>
              <w:topLinePunct w:val="0"/>
              <w:autoSpaceDE/>
              <w:autoSpaceDN/>
              <w:bidi w:val="0"/>
              <w:adjustRightInd/>
              <w:snapToGrid/>
              <w:spacing w:line="440" w:lineRule="exact"/>
              <w:ind w:left="111" w:leftChars="50" w:right="0" w:rightChars="0" w:hanging="6"/>
              <w:jc w:val="center"/>
              <w:textAlignment w:val="auto"/>
              <w:rPr>
                <w:rFonts w:hint="default" w:ascii="仿宋" w:hAnsi="仿宋" w:eastAsia="仿宋" w:cs="仿宋"/>
                <w:b w:val="0"/>
                <w:color w:val="auto"/>
                <w:sz w:val="24"/>
                <w:szCs w:val="24"/>
                <w:highlight w:val="none"/>
              </w:rPr>
            </w:pPr>
            <w:bookmarkStart w:id="738" w:name="_Toc15666"/>
            <w:bookmarkEnd w:id="738"/>
            <w:bookmarkStart w:id="739" w:name="_Toc1452"/>
            <w:bookmarkEnd w:id="739"/>
            <w:bookmarkStart w:id="740" w:name="_Toc7537"/>
            <w:bookmarkEnd w:id="740"/>
            <w:bookmarkStart w:id="741" w:name="_Toc31505"/>
            <w:bookmarkEnd w:id="741"/>
            <w:bookmarkStart w:id="742" w:name="_Toc14122"/>
            <w:bookmarkEnd w:id="742"/>
            <w:bookmarkStart w:id="743" w:name="_Toc20178"/>
            <w:bookmarkEnd w:id="743"/>
            <w:bookmarkStart w:id="744" w:name="_Toc1529"/>
            <w:bookmarkEnd w:id="744"/>
            <w:bookmarkStart w:id="745" w:name="_Toc23111"/>
            <w:bookmarkEnd w:id="745"/>
            <w:bookmarkStart w:id="746" w:name="_Toc144907745"/>
            <w:bookmarkStart w:id="747" w:name="_Toc143443768"/>
            <w:bookmarkStart w:id="748" w:name="_Toc19493"/>
            <w:bookmarkStart w:id="749" w:name="_Toc8858"/>
            <w:r>
              <w:rPr>
                <w:rFonts w:ascii="仿宋" w:hAnsi="仿宋" w:eastAsia="仿宋" w:cs="仿宋"/>
                <w:b w:val="0"/>
                <w:color w:val="auto"/>
                <w:sz w:val="24"/>
                <w:szCs w:val="24"/>
                <w:highlight w:val="none"/>
              </w:rPr>
              <w:t>指标要求</w:t>
            </w:r>
            <w:bookmarkEnd w:id="746"/>
            <w:bookmarkEnd w:id="747"/>
            <w:bookmarkEnd w:id="748"/>
            <w:bookmarkEnd w:id="749"/>
          </w:p>
        </w:tc>
        <w:bookmarkStart w:id="750" w:name="_Toc9201"/>
        <w:bookmarkEnd w:id="750"/>
        <w:bookmarkStart w:id="751" w:name="_Toc14311"/>
        <w:bookmarkEnd w:id="751"/>
        <w:bookmarkStart w:id="752" w:name="_Toc25671"/>
        <w:bookmarkEnd w:id="752"/>
        <w:bookmarkStart w:id="753" w:name="_Toc10066"/>
        <w:bookmarkEnd w:id="753"/>
        <w:bookmarkStart w:id="754" w:name="_Toc17985"/>
        <w:bookmarkEnd w:id="754"/>
        <w:bookmarkStart w:id="755" w:name="_Toc16115"/>
        <w:bookmarkEnd w:id="755"/>
        <w:bookmarkStart w:id="756" w:name="_Toc12179"/>
        <w:bookmarkEnd w:id="756"/>
        <w:bookmarkStart w:id="757" w:name="_Toc1065"/>
        <w:bookmarkEnd w:id="757"/>
      </w:tr>
      <w:tr w14:paraId="3EC99FD7">
        <w:tblPrEx>
          <w:tblCellMar>
            <w:top w:w="0" w:type="dxa"/>
            <w:left w:w="0" w:type="dxa"/>
            <w:bottom w:w="0" w:type="dxa"/>
            <w:right w:w="0" w:type="dxa"/>
          </w:tblCellMar>
        </w:tblPrEx>
        <w:trPr>
          <w:trHeight w:val="607" w:hRule="atLeast"/>
          <w:jc w:val="center"/>
        </w:trPr>
        <w:tc>
          <w:tcPr>
            <w:tcW w:w="764" w:type="dxa"/>
            <w:tcBorders>
              <w:top w:val="single" w:color="000000" w:sz="4" w:space="0"/>
              <w:left w:val="single" w:color="000000" w:sz="4" w:space="0"/>
              <w:bottom w:val="single" w:color="000000" w:sz="4" w:space="0"/>
              <w:right w:val="single" w:color="000000" w:sz="4" w:space="0"/>
            </w:tcBorders>
            <w:vAlign w:val="center"/>
          </w:tcPr>
          <w:p w14:paraId="51E46FEA">
            <w:pPr>
              <w:pStyle w:val="2"/>
              <w:spacing w:line="440" w:lineRule="exact"/>
              <w:ind w:left="6" w:right="-109" w:rightChars="-52" w:hanging="6"/>
              <w:jc w:val="center"/>
              <w:rPr>
                <w:rFonts w:hint="default" w:ascii="仿宋" w:hAnsi="仿宋" w:eastAsia="仿宋" w:cs="仿宋"/>
                <w:b w:val="0"/>
                <w:color w:val="auto"/>
                <w:sz w:val="24"/>
                <w:szCs w:val="24"/>
                <w:highlight w:val="none"/>
              </w:rPr>
            </w:pPr>
            <w:bookmarkStart w:id="758" w:name="_Toc26190"/>
            <w:bookmarkEnd w:id="758"/>
            <w:bookmarkStart w:id="759" w:name="_Toc32075"/>
            <w:bookmarkEnd w:id="759"/>
            <w:bookmarkStart w:id="760" w:name="_Toc10477"/>
            <w:bookmarkEnd w:id="760"/>
            <w:bookmarkStart w:id="761" w:name="_Toc3964"/>
            <w:bookmarkEnd w:id="761"/>
            <w:bookmarkStart w:id="762" w:name="_Toc17596"/>
            <w:bookmarkEnd w:id="762"/>
            <w:bookmarkStart w:id="763" w:name="_Toc20916"/>
            <w:bookmarkEnd w:id="763"/>
            <w:bookmarkStart w:id="764" w:name="_Toc3316"/>
            <w:bookmarkEnd w:id="764"/>
            <w:bookmarkStart w:id="765" w:name="_Toc20435"/>
            <w:bookmarkEnd w:id="765"/>
            <w:bookmarkStart w:id="766" w:name="_Toc10374"/>
            <w:bookmarkStart w:id="767" w:name="_Toc143443770"/>
            <w:bookmarkStart w:id="768" w:name="_Toc144907747"/>
            <w:bookmarkStart w:id="769" w:name="_Toc19409"/>
            <w:r>
              <w:rPr>
                <w:rFonts w:ascii="仿宋" w:hAnsi="仿宋" w:eastAsia="仿宋" w:cs="仿宋"/>
                <w:b w:val="0"/>
                <w:color w:val="auto"/>
                <w:sz w:val="24"/>
                <w:szCs w:val="24"/>
                <w:highlight w:val="none"/>
              </w:rPr>
              <w:t>1</w:t>
            </w:r>
            <w:bookmarkEnd w:id="766"/>
            <w:bookmarkEnd w:id="767"/>
            <w:bookmarkEnd w:id="768"/>
            <w:bookmarkEnd w:id="769"/>
          </w:p>
        </w:tc>
        <w:tc>
          <w:tcPr>
            <w:tcW w:w="3474" w:type="dxa"/>
            <w:tcBorders>
              <w:top w:val="single" w:color="000000" w:sz="4" w:space="0"/>
              <w:left w:val="single" w:color="000000" w:sz="4" w:space="0"/>
              <w:bottom w:val="single" w:color="000000" w:sz="4" w:space="0"/>
              <w:right w:val="single" w:color="000000" w:sz="4" w:space="0"/>
            </w:tcBorders>
            <w:vAlign w:val="center"/>
          </w:tcPr>
          <w:p w14:paraId="2619ADB9">
            <w:pPr>
              <w:pStyle w:val="2"/>
              <w:spacing w:line="440" w:lineRule="exact"/>
              <w:ind w:left="6" w:right="-109" w:rightChars="-52" w:hanging="6"/>
              <w:rPr>
                <w:rFonts w:hint="default" w:ascii="仿宋" w:hAnsi="仿宋" w:eastAsia="仿宋" w:cs="仿宋"/>
                <w:b w:val="0"/>
                <w:color w:val="auto"/>
                <w:sz w:val="24"/>
                <w:szCs w:val="24"/>
                <w:highlight w:val="none"/>
              </w:rPr>
            </w:pPr>
            <w:bookmarkStart w:id="770" w:name="_Toc14763"/>
            <w:bookmarkEnd w:id="770"/>
            <w:bookmarkStart w:id="771" w:name="_Toc6924"/>
            <w:bookmarkEnd w:id="771"/>
            <w:bookmarkStart w:id="772" w:name="_Toc1285"/>
            <w:bookmarkEnd w:id="772"/>
            <w:bookmarkStart w:id="773" w:name="_Toc11003"/>
            <w:bookmarkEnd w:id="773"/>
            <w:bookmarkStart w:id="774" w:name="_Toc10210"/>
            <w:bookmarkEnd w:id="774"/>
            <w:bookmarkStart w:id="775" w:name="_Toc13608"/>
            <w:bookmarkEnd w:id="775"/>
            <w:bookmarkStart w:id="776" w:name="_Toc29966"/>
            <w:bookmarkEnd w:id="776"/>
            <w:bookmarkStart w:id="777" w:name="_Toc8818"/>
            <w:bookmarkEnd w:id="777"/>
            <w:bookmarkStart w:id="778" w:name="_Toc143443771"/>
            <w:bookmarkStart w:id="779" w:name="_Toc4986"/>
            <w:bookmarkStart w:id="780" w:name="_Toc144907748"/>
            <w:bookmarkStart w:id="781" w:name="_Toc21452"/>
            <w:r>
              <w:rPr>
                <w:rFonts w:ascii="仿宋" w:hAnsi="仿宋" w:eastAsia="仿宋" w:cs="仿宋"/>
                <w:b w:val="0"/>
                <w:color w:val="auto"/>
                <w:sz w:val="24"/>
                <w:szCs w:val="24"/>
                <w:highlight w:val="none"/>
              </w:rPr>
              <w:t>磋商响应文件签字盖章</w:t>
            </w:r>
            <w:bookmarkEnd w:id="778"/>
            <w:bookmarkEnd w:id="779"/>
            <w:bookmarkEnd w:id="780"/>
            <w:bookmarkEnd w:id="781"/>
          </w:p>
        </w:tc>
        <w:tc>
          <w:tcPr>
            <w:tcW w:w="5261" w:type="dxa"/>
            <w:tcBorders>
              <w:top w:val="single" w:color="000000" w:sz="4" w:space="0"/>
              <w:left w:val="single" w:color="000000" w:sz="4" w:space="0"/>
              <w:bottom w:val="single" w:color="000000" w:sz="4" w:space="0"/>
              <w:right w:val="single" w:color="000000" w:sz="4" w:space="0"/>
            </w:tcBorders>
            <w:vAlign w:val="center"/>
          </w:tcPr>
          <w:p w14:paraId="1F04659A">
            <w:pPr>
              <w:pStyle w:val="2"/>
              <w:keepNext w:val="0"/>
              <w:keepLines w:val="0"/>
              <w:pageBreakBefore w:val="0"/>
              <w:widowControl w:val="0"/>
              <w:kinsoku/>
              <w:wordWrap/>
              <w:overflowPunct/>
              <w:topLinePunct w:val="0"/>
              <w:autoSpaceDE/>
              <w:autoSpaceDN/>
              <w:bidi w:val="0"/>
              <w:adjustRightInd/>
              <w:snapToGrid/>
              <w:spacing w:line="440" w:lineRule="exact"/>
              <w:ind w:left="111" w:leftChars="50" w:right="0" w:rightChars="0" w:hanging="6"/>
              <w:textAlignment w:val="auto"/>
              <w:rPr>
                <w:rFonts w:hint="default" w:ascii="仿宋" w:hAnsi="仿宋" w:eastAsia="仿宋" w:cs="仿宋"/>
                <w:b w:val="0"/>
                <w:color w:val="auto"/>
                <w:sz w:val="24"/>
                <w:szCs w:val="24"/>
                <w:highlight w:val="none"/>
              </w:rPr>
            </w:pPr>
            <w:bookmarkStart w:id="782" w:name="_Toc143443772"/>
            <w:bookmarkStart w:id="783" w:name="_Toc1165"/>
            <w:bookmarkStart w:id="784" w:name="_Toc144907749"/>
            <w:bookmarkStart w:id="785" w:name="_Toc2277"/>
            <w:r>
              <w:rPr>
                <w:rFonts w:ascii="仿宋" w:hAnsi="仿宋" w:eastAsia="仿宋" w:cs="仿宋"/>
                <w:b w:val="0"/>
                <w:color w:val="auto"/>
                <w:sz w:val="24"/>
                <w:szCs w:val="24"/>
                <w:highlight w:val="none"/>
              </w:rPr>
              <w:t>符合磋商文件签字或盖章要求</w:t>
            </w:r>
            <w:bookmarkEnd w:id="782"/>
            <w:bookmarkEnd w:id="783"/>
            <w:bookmarkEnd w:id="784"/>
            <w:bookmarkEnd w:id="785"/>
          </w:p>
        </w:tc>
      </w:tr>
      <w:tr w14:paraId="66335365">
        <w:tblPrEx>
          <w:tblCellMar>
            <w:top w:w="0" w:type="dxa"/>
            <w:left w:w="0" w:type="dxa"/>
            <w:bottom w:w="0" w:type="dxa"/>
            <w:right w:w="0" w:type="dxa"/>
          </w:tblCellMar>
        </w:tblPrEx>
        <w:trPr>
          <w:trHeight w:val="607" w:hRule="atLeast"/>
          <w:jc w:val="center"/>
        </w:trPr>
        <w:tc>
          <w:tcPr>
            <w:tcW w:w="764" w:type="dxa"/>
            <w:tcBorders>
              <w:top w:val="single" w:color="000000" w:sz="4" w:space="0"/>
              <w:left w:val="single" w:color="000000" w:sz="4" w:space="0"/>
              <w:bottom w:val="single" w:color="000000" w:sz="4" w:space="0"/>
              <w:right w:val="single" w:color="000000" w:sz="4" w:space="0"/>
            </w:tcBorders>
            <w:vAlign w:val="center"/>
          </w:tcPr>
          <w:p w14:paraId="2DC9502F">
            <w:pPr>
              <w:pStyle w:val="2"/>
              <w:spacing w:line="440" w:lineRule="exact"/>
              <w:ind w:left="6" w:right="-109" w:rightChars="-52" w:hanging="6"/>
              <w:jc w:val="center"/>
              <w:rPr>
                <w:rFonts w:hint="default" w:ascii="仿宋" w:hAnsi="仿宋" w:eastAsia="仿宋" w:cs="仿宋"/>
                <w:b w:val="0"/>
                <w:color w:val="auto"/>
                <w:sz w:val="24"/>
                <w:szCs w:val="24"/>
                <w:highlight w:val="none"/>
              </w:rPr>
            </w:pPr>
            <w:bookmarkStart w:id="786" w:name="_Toc6853"/>
            <w:bookmarkEnd w:id="786"/>
            <w:bookmarkStart w:id="787" w:name="_Toc15366"/>
            <w:bookmarkEnd w:id="787"/>
            <w:bookmarkStart w:id="788" w:name="_Toc26293"/>
            <w:bookmarkEnd w:id="788"/>
            <w:bookmarkStart w:id="789" w:name="_Toc9238"/>
            <w:bookmarkEnd w:id="789"/>
            <w:bookmarkStart w:id="790" w:name="_Toc18886"/>
            <w:bookmarkEnd w:id="790"/>
            <w:bookmarkStart w:id="791" w:name="_Toc643"/>
            <w:bookmarkStart w:id="792" w:name="_Toc143443773"/>
            <w:bookmarkStart w:id="793" w:name="_Toc144907750"/>
            <w:bookmarkStart w:id="794" w:name="_Toc16645"/>
            <w:r>
              <w:rPr>
                <w:rFonts w:ascii="仿宋" w:hAnsi="仿宋" w:eastAsia="仿宋" w:cs="仿宋"/>
                <w:b w:val="0"/>
                <w:color w:val="auto"/>
                <w:sz w:val="24"/>
                <w:szCs w:val="24"/>
                <w:highlight w:val="none"/>
              </w:rPr>
              <w:t>2</w:t>
            </w:r>
            <w:bookmarkEnd w:id="791"/>
            <w:bookmarkEnd w:id="792"/>
            <w:bookmarkEnd w:id="793"/>
            <w:bookmarkEnd w:id="794"/>
          </w:p>
        </w:tc>
        <w:tc>
          <w:tcPr>
            <w:tcW w:w="3474" w:type="dxa"/>
            <w:tcBorders>
              <w:top w:val="single" w:color="000000" w:sz="4" w:space="0"/>
              <w:left w:val="single" w:color="000000" w:sz="4" w:space="0"/>
              <w:bottom w:val="single" w:color="000000" w:sz="4" w:space="0"/>
              <w:right w:val="single" w:color="000000" w:sz="4" w:space="0"/>
            </w:tcBorders>
            <w:vAlign w:val="center"/>
          </w:tcPr>
          <w:p w14:paraId="527EB643">
            <w:pPr>
              <w:pStyle w:val="2"/>
              <w:spacing w:line="440" w:lineRule="exact"/>
              <w:ind w:left="6" w:right="-109" w:rightChars="-52" w:hanging="6"/>
              <w:rPr>
                <w:rFonts w:hint="default" w:ascii="仿宋" w:hAnsi="仿宋" w:eastAsia="仿宋" w:cs="仿宋"/>
                <w:b w:val="0"/>
                <w:color w:val="auto"/>
                <w:sz w:val="24"/>
                <w:szCs w:val="24"/>
                <w:highlight w:val="none"/>
              </w:rPr>
            </w:pPr>
            <w:bookmarkStart w:id="795" w:name="_Toc14281"/>
            <w:bookmarkEnd w:id="795"/>
            <w:bookmarkStart w:id="796" w:name="_Toc3166"/>
            <w:bookmarkEnd w:id="796"/>
            <w:bookmarkStart w:id="797" w:name="_Toc18181"/>
            <w:bookmarkEnd w:id="797"/>
            <w:bookmarkStart w:id="798" w:name="_Toc16737"/>
            <w:bookmarkEnd w:id="798"/>
            <w:bookmarkStart w:id="799" w:name="_Toc14663"/>
            <w:bookmarkEnd w:id="799"/>
            <w:bookmarkStart w:id="800" w:name="_Toc17548"/>
            <w:bookmarkEnd w:id="800"/>
            <w:bookmarkStart w:id="801" w:name="_Toc27107"/>
            <w:bookmarkEnd w:id="801"/>
            <w:bookmarkStart w:id="802" w:name="_Toc1571"/>
            <w:bookmarkEnd w:id="802"/>
            <w:bookmarkStart w:id="803" w:name="_Toc12432"/>
            <w:bookmarkStart w:id="804" w:name="_Toc143443774"/>
            <w:bookmarkStart w:id="805" w:name="_Toc144907751"/>
            <w:bookmarkStart w:id="806" w:name="_Toc9626"/>
            <w:r>
              <w:rPr>
                <w:rFonts w:ascii="仿宋" w:hAnsi="仿宋" w:eastAsia="仿宋" w:cs="仿宋"/>
                <w:b w:val="0"/>
                <w:color w:val="auto"/>
                <w:sz w:val="24"/>
                <w:szCs w:val="24"/>
                <w:highlight w:val="none"/>
              </w:rPr>
              <w:t>投标报价</w:t>
            </w:r>
            <w:bookmarkEnd w:id="803"/>
            <w:bookmarkEnd w:id="804"/>
            <w:bookmarkEnd w:id="805"/>
            <w:bookmarkEnd w:id="806"/>
          </w:p>
        </w:tc>
        <w:tc>
          <w:tcPr>
            <w:tcW w:w="5261" w:type="dxa"/>
            <w:tcBorders>
              <w:top w:val="single" w:color="000000" w:sz="4" w:space="0"/>
              <w:left w:val="single" w:color="000000" w:sz="4" w:space="0"/>
              <w:bottom w:val="single" w:color="000000" w:sz="4" w:space="0"/>
              <w:right w:val="single" w:color="000000" w:sz="4" w:space="0"/>
            </w:tcBorders>
            <w:vAlign w:val="center"/>
          </w:tcPr>
          <w:p w14:paraId="09AF0DC9">
            <w:pPr>
              <w:pStyle w:val="2"/>
              <w:keepNext w:val="0"/>
              <w:keepLines w:val="0"/>
              <w:pageBreakBefore w:val="0"/>
              <w:widowControl w:val="0"/>
              <w:kinsoku/>
              <w:wordWrap/>
              <w:overflowPunct/>
              <w:topLinePunct w:val="0"/>
              <w:autoSpaceDE/>
              <w:autoSpaceDN/>
              <w:bidi w:val="0"/>
              <w:adjustRightInd/>
              <w:snapToGrid/>
              <w:spacing w:line="440" w:lineRule="exact"/>
              <w:ind w:left="105" w:leftChars="50" w:right="0" w:rightChars="0"/>
              <w:textAlignment w:val="auto"/>
              <w:rPr>
                <w:rFonts w:hint="default" w:ascii="仿宋" w:hAnsi="仿宋" w:eastAsia="仿宋" w:cs="仿宋"/>
                <w:b w:val="0"/>
                <w:color w:val="auto"/>
                <w:sz w:val="24"/>
                <w:szCs w:val="24"/>
                <w:highlight w:val="none"/>
                <w:lang w:val="en-US" w:eastAsia="zh-CN"/>
              </w:rPr>
            </w:pPr>
            <w:bookmarkStart w:id="807" w:name="_Toc13553"/>
            <w:bookmarkEnd w:id="807"/>
            <w:bookmarkStart w:id="808" w:name="_Toc19949"/>
            <w:bookmarkEnd w:id="808"/>
            <w:bookmarkStart w:id="809" w:name="_Toc18396"/>
            <w:bookmarkEnd w:id="809"/>
            <w:bookmarkStart w:id="810" w:name="_Toc3943"/>
            <w:bookmarkEnd w:id="810"/>
            <w:bookmarkStart w:id="811" w:name="_Toc22969"/>
            <w:bookmarkEnd w:id="811"/>
            <w:bookmarkStart w:id="812" w:name="_Toc11613"/>
            <w:bookmarkEnd w:id="812"/>
            <w:bookmarkStart w:id="813" w:name="_Toc11646"/>
            <w:bookmarkEnd w:id="813"/>
            <w:bookmarkStart w:id="814" w:name="_Toc6668"/>
            <w:bookmarkEnd w:id="814"/>
            <w:bookmarkStart w:id="815" w:name="_Toc144907752"/>
            <w:bookmarkStart w:id="816" w:name="_Toc18479"/>
            <w:bookmarkStart w:id="817" w:name="_Toc12936"/>
            <w:bookmarkStart w:id="818" w:name="_Toc143443775"/>
            <w:r>
              <w:rPr>
                <w:rFonts w:ascii="仿宋" w:hAnsi="仿宋" w:eastAsia="仿宋" w:cs="仿宋"/>
                <w:b w:val="0"/>
                <w:color w:val="auto"/>
                <w:sz w:val="24"/>
                <w:szCs w:val="24"/>
                <w:highlight w:val="none"/>
              </w:rPr>
              <w:t>不得超出</w:t>
            </w:r>
            <w:bookmarkEnd w:id="815"/>
            <w:bookmarkEnd w:id="816"/>
            <w:bookmarkEnd w:id="817"/>
            <w:bookmarkEnd w:id="818"/>
            <w:r>
              <w:rPr>
                <w:rFonts w:hint="eastAsia" w:ascii="仿宋" w:hAnsi="仿宋" w:eastAsia="仿宋" w:cs="仿宋"/>
                <w:b w:val="0"/>
                <w:color w:val="auto"/>
                <w:sz w:val="24"/>
                <w:szCs w:val="24"/>
                <w:highlight w:val="none"/>
                <w:lang w:val="en-US" w:eastAsia="zh-CN"/>
              </w:rPr>
              <w:t>最高限价</w:t>
            </w:r>
          </w:p>
        </w:tc>
      </w:tr>
      <w:tr w14:paraId="66EBCC3D">
        <w:tblPrEx>
          <w:tblCellMar>
            <w:top w:w="0" w:type="dxa"/>
            <w:left w:w="0" w:type="dxa"/>
            <w:bottom w:w="0" w:type="dxa"/>
            <w:right w:w="0" w:type="dxa"/>
          </w:tblCellMar>
        </w:tblPrEx>
        <w:trPr>
          <w:trHeight w:val="607" w:hRule="atLeast"/>
          <w:jc w:val="center"/>
        </w:trPr>
        <w:tc>
          <w:tcPr>
            <w:tcW w:w="764" w:type="dxa"/>
            <w:tcBorders>
              <w:top w:val="single" w:color="000000" w:sz="4" w:space="0"/>
              <w:left w:val="single" w:color="000000" w:sz="4" w:space="0"/>
              <w:bottom w:val="single" w:color="000000" w:sz="4" w:space="0"/>
              <w:right w:val="single" w:color="000000" w:sz="4" w:space="0"/>
            </w:tcBorders>
            <w:vAlign w:val="center"/>
          </w:tcPr>
          <w:p w14:paraId="714FEF0E">
            <w:pPr>
              <w:pStyle w:val="2"/>
              <w:spacing w:line="440" w:lineRule="exact"/>
              <w:ind w:left="6" w:right="-109" w:rightChars="-52" w:hanging="6"/>
              <w:jc w:val="center"/>
              <w:rPr>
                <w:rFonts w:hint="default" w:ascii="仿宋" w:hAnsi="仿宋" w:eastAsia="仿宋" w:cs="仿宋"/>
                <w:b w:val="0"/>
                <w:color w:val="auto"/>
                <w:sz w:val="24"/>
                <w:szCs w:val="24"/>
                <w:highlight w:val="none"/>
              </w:rPr>
            </w:pPr>
            <w:bookmarkStart w:id="819" w:name="_Toc14921"/>
            <w:bookmarkEnd w:id="819"/>
            <w:bookmarkStart w:id="820" w:name="_Toc11091"/>
            <w:bookmarkEnd w:id="820"/>
            <w:bookmarkStart w:id="821" w:name="_Toc17660"/>
            <w:bookmarkEnd w:id="821"/>
            <w:bookmarkStart w:id="822" w:name="_Toc20164"/>
            <w:bookmarkEnd w:id="822"/>
            <w:bookmarkStart w:id="823" w:name="_Toc7123"/>
            <w:bookmarkEnd w:id="823"/>
            <w:bookmarkStart w:id="824" w:name="_Toc15474"/>
            <w:bookmarkStart w:id="825" w:name="_Toc14616"/>
            <w:bookmarkStart w:id="826" w:name="_Toc144907753"/>
            <w:bookmarkStart w:id="827" w:name="_Toc143443776"/>
            <w:r>
              <w:rPr>
                <w:rFonts w:ascii="仿宋" w:hAnsi="仿宋" w:eastAsia="仿宋" w:cs="仿宋"/>
                <w:b w:val="0"/>
                <w:color w:val="auto"/>
                <w:sz w:val="24"/>
                <w:szCs w:val="24"/>
                <w:highlight w:val="none"/>
              </w:rPr>
              <w:t>3</w:t>
            </w:r>
            <w:bookmarkEnd w:id="824"/>
            <w:bookmarkEnd w:id="825"/>
            <w:bookmarkEnd w:id="826"/>
            <w:bookmarkEnd w:id="827"/>
          </w:p>
        </w:tc>
        <w:tc>
          <w:tcPr>
            <w:tcW w:w="3474" w:type="dxa"/>
            <w:tcBorders>
              <w:top w:val="single" w:color="000000" w:sz="4" w:space="0"/>
              <w:left w:val="single" w:color="000000" w:sz="4" w:space="0"/>
              <w:bottom w:val="single" w:color="000000" w:sz="4" w:space="0"/>
              <w:right w:val="single" w:color="000000" w:sz="4" w:space="0"/>
            </w:tcBorders>
            <w:vAlign w:val="center"/>
          </w:tcPr>
          <w:p w14:paraId="2763DE7C">
            <w:pPr>
              <w:pStyle w:val="2"/>
              <w:spacing w:line="440" w:lineRule="exact"/>
              <w:ind w:left="6" w:right="-109" w:rightChars="-52" w:hanging="6"/>
              <w:rPr>
                <w:rFonts w:hint="default" w:ascii="仿宋" w:hAnsi="仿宋" w:eastAsia="仿宋" w:cs="仿宋"/>
                <w:b w:val="0"/>
                <w:color w:val="auto"/>
                <w:sz w:val="24"/>
                <w:szCs w:val="24"/>
                <w:highlight w:val="none"/>
              </w:rPr>
            </w:pPr>
            <w:bookmarkStart w:id="828" w:name="_Toc26491"/>
            <w:bookmarkEnd w:id="828"/>
            <w:bookmarkStart w:id="829" w:name="_Toc15746"/>
            <w:bookmarkEnd w:id="829"/>
            <w:bookmarkStart w:id="830" w:name="_Toc26488"/>
            <w:bookmarkEnd w:id="830"/>
            <w:bookmarkStart w:id="831" w:name="_Toc15377"/>
            <w:bookmarkEnd w:id="831"/>
            <w:bookmarkStart w:id="832" w:name="_Toc15588"/>
            <w:bookmarkEnd w:id="832"/>
            <w:bookmarkStart w:id="833" w:name="_Toc13785"/>
            <w:bookmarkEnd w:id="833"/>
            <w:bookmarkStart w:id="834" w:name="_Toc10178"/>
            <w:bookmarkEnd w:id="834"/>
            <w:bookmarkStart w:id="835" w:name="_Toc6732"/>
            <w:bookmarkEnd w:id="835"/>
            <w:bookmarkStart w:id="836" w:name="_Toc4783"/>
            <w:bookmarkStart w:id="837" w:name="_Toc15477"/>
            <w:bookmarkStart w:id="838" w:name="_Toc143443777"/>
            <w:bookmarkStart w:id="839" w:name="_Toc144907754"/>
            <w:r>
              <w:rPr>
                <w:rFonts w:ascii="仿宋" w:hAnsi="仿宋" w:eastAsia="仿宋" w:cs="仿宋"/>
                <w:b w:val="0"/>
                <w:color w:val="auto"/>
                <w:sz w:val="24"/>
                <w:szCs w:val="24"/>
                <w:highlight w:val="none"/>
              </w:rPr>
              <w:t>供应商资格</w:t>
            </w:r>
            <w:bookmarkEnd w:id="836"/>
            <w:bookmarkEnd w:id="837"/>
            <w:bookmarkEnd w:id="838"/>
            <w:bookmarkEnd w:id="839"/>
          </w:p>
        </w:tc>
        <w:tc>
          <w:tcPr>
            <w:tcW w:w="5261" w:type="dxa"/>
            <w:tcBorders>
              <w:top w:val="single" w:color="000000" w:sz="4" w:space="0"/>
              <w:left w:val="single" w:color="000000" w:sz="4" w:space="0"/>
              <w:bottom w:val="single" w:color="000000" w:sz="4" w:space="0"/>
              <w:right w:val="single" w:color="000000" w:sz="4" w:space="0"/>
            </w:tcBorders>
            <w:vAlign w:val="center"/>
          </w:tcPr>
          <w:p w14:paraId="6BCF0C32">
            <w:pPr>
              <w:pStyle w:val="2"/>
              <w:keepNext w:val="0"/>
              <w:keepLines w:val="0"/>
              <w:pageBreakBefore w:val="0"/>
              <w:widowControl w:val="0"/>
              <w:kinsoku/>
              <w:wordWrap/>
              <w:overflowPunct/>
              <w:topLinePunct w:val="0"/>
              <w:autoSpaceDE/>
              <w:autoSpaceDN/>
              <w:bidi w:val="0"/>
              <w:adjustRightInd/>
              <w:snapToGrid/>
              <w:spacing w:line="440" w:lineRule="exact"/>
              <w:ind w:left="111" w:leftChars="50" w:right="0" w:rightChars="0" w:hanging="6"/>
              <w:textAlignment w:val="auto"/>
              <w:rPr>
                <w:rFonts w:hint="default" w:ascii="仿宋" w:hAnsi="仿宋" w:eastAsia="仿宋" w:cs="仿宋"/>
                <w:b w:val="0"/>
                <w:color w:val="auto"/>
                <w:sz w:val="24"/>
                <w:szCs w:val="24"/>
                <w:highlight w:val="none"/>
              </w:rPr>
            </w:pPr>
            <w:bookmarkStart w:id="840" w:name="_Toc29443"/>
            <w:bookmarkEnd w:id="840"/>
            <w:bookmarkStart w:id="841" w:name="_Toc23900"/>
            <w:bookmarkEnd w:id="841"/>
            <w:bookmarkStart w:id="842" w:name="_Toc13400"/>
            <w:bookmarkEnd w:id="842"/>
            <w:bookmarkStart w:id="843" w:name="_Toc3704"/>
            <w:bookmarkEnd w:id="843"/>
            <w:bookmarkStart w:id="844" w:name="_Toc29257"/>
            <w:bookmarkEnd w:id="844"/>
            <w:bookmarkStart w:id="845" w:name="_Toc143443778"/>
            <w:bookmarkStart w:id="846" w:name="_Toc30117"/>
            <w:bookmarkStart w:id="847" w:name="_Toc144907755"/>
            <w:bookmarkStart w:id="848" w:name="_Toc2490"/>
            <w:r>
              <w:rPr>
                <w:rFonts w:ascii="仿宋" w:hAnsi="仿宋" w:eastAsia="仿宋" w:cs="仿宋"/>
                <w:b w:val="0"/>
                <w:color w:val="auto"/>
                <w:sz w:val="24"/>
                <w:szCs w:val="24"/>
                <w:highlight w:val="none"/>
              </w:rPr>
              <w:t>符合磋商公告要求</w:t>
            </w:r>
            <w:bookmarkEnd w:id="845"/>
            <w:bookmarkEnd w:id="846"/>
            <w:bookmarkEnd w:id="847"/>
            <w:bookmarkEnd w:id="848"/>
          </w:p>
        </w:tc>
      </w:tr>
      <w:tr w14:paraId="694BDBCF">
        <w:tblPrEx>
          <w:tblCellMar>
            <w:top w:w="0" w:type="dxa"/>
            <w:left w:w="0" w:type="dxa"/>
            <w:bottom w:w="0" w:type="dxa"/>
            <w:right w:w="0" w:type="dxa"/>
          </w:tblCellMar>
        </w:tblPrEx>
        <w:trPr>
          <w:trHeight w:val="607" w:hRule="atLeast"/>
          <w:jc w:val="center"/>
        </w:trPr>
        <w:tc>
          <w:tcPr>
            <w:tcW w:w="764" w:type="dxa"/>
            <w:tcBorders>
              <w:top w:val="single" w:color="000000" w:sz="4" w:space="0"/>
              <w:left w:val="single" w:color="000000" w:sz="4" w:space="0"/>
              <w:bottom w:val="single" w:color="000000" w:sz="4" w:space="0"/>
              <w:right w:val="single" w:color="000000" w:sz="4" w:space="0"/>
            </w:tcBorders>
            <w:vAlign w:val="center"/>
          </w:tcPr>
          <w:p w14:paraId="2D7D65B2">
            <w:pPr>
              <w:pStyle w:val="2"/>
              <w:spacing w:line="440" w:lineRule="exact"/>
              <w:ind w:left="6" w:right="-109" w:rightChars="-52" w:hanging="6"/>
              <w:jc w:val="center"/>
              <w:rPr>
                <w:rFonts w:hint="default" w:ascii="仿宋" w:hAnsi="仿宋" w:eastAsia="仿宋" w:cs="仿宋"/>
                <w:b w:val="0"/>
                <w:color w:val="auto"/>
                <w:sz w:val="24"/>
                <w:szCs w:val="24"/>
                <w:highlight w:val="none"/>
              </w:rPr>
            </w:pPr>
            <w:bookmarkStart w:id="849" w:name="_Toc19688"/>
            <w:bookmarkEnd w:id="849"/>
            <w:bookmarkStart w:id="850" w:name="_Toc3272"/>
            <w:bookmarkEnd w:id="850"/>
            <w:bookmarkStart w:id="851" w:name="_Toc1315"/>
            <w:bookmarkEnd w:id="851"/>
            <w:bookmarkStart w:id="852" w:name="_Toc5238"/>
            <w:bookmarkEnd w:id="852"/>
            <w:bookmarkStart w:id="853" w:name="_Toc11599"/>
            <w:bookmarkEnd w:id="853"/>
            <w:bookmarkStart w:id="854" w:name="_Toc143443779"/>
            <w:bookmarkStart w:id="855" w:name="_Toc7596"/>
            <w:bookmarkStart w:id="856" w:name="_Toc144907756"/>
            <w:bookmarkStart w:id="857" w:name="_Toc30272"/>
            <w:r>
              <w:rPr>
                <w:rFonts w:ascii="仿宋" w:hAnsi="仿宋" w:eastAsia="仿宋" w:cs="仿宋"/>
                <w:b w:val="0"/>
                <w:color w:val="auto"/>
                <w:sz w:val="24"/>
                <w:szCs w:val="24"/>
                <w:highlight w:val="none"/>
              </w:rPr>
              <w:t>4</w:t>
            </w:r>
            <w:bookmarkEnd w:id="854"/>
            <w:bookmarkEnd w:id="855"/>
            <w:bookmarkEnd w:id="856"/>
            <w:bookmarkEnd w:id="857"/>
          </w:p>
        </w:tc>
        <w:tc>
          <w:tcPr>
            <w:tcW w:w="3474" w:type="dxa"/>
            <w:tcBorders>
              <w:top w:val="single" w:color="000000" w:sz="4" w:space="0"/>
              <w:left w:val="single" w:color="000000" w:sz="4" w:space="0"/>
              <w:bottom w:val="single" w:color="000000" w:sz="4" w:space="0"/>
              <w:right w:val="single" w:color="000000" w:sz="4" w:space="0"/>
            </w:tcBorders>
            <w:vAlign w:val="center"/>
          </w:tcPr>
          <w:p w14:paraId="3EB19A6B">
            <w:pPr>
              <w:pStyle w:val="2"/>
              <w:spacing w:line="440" w:lineRule="exact"/>
              <w:ind w:left="6" w:right="-109" w:rightChars="-52" w:hanging="6"/>
              <w:rPr>
                <w:rFonts w:hint="default" w:ascii="仿宋" w:hAnsi="仿宋" w:eastAsia="仿宋" w:cs="仿宋"/>
                <w:b w:val="0"/>
                <w:color w:val="auto"/>
                <w:sz w:val="24"/>
                <w:szCs w:val="24"/>
                <w:highlight w:val="none"/>
              </w:rPr>
            </w:pPr>
            <w:bookmarkStart w:id="858" w:name="_Toc14243"/>
            <w:bookmarkEnd w:id="858"/>
            <w:bookmarkStart w:id="859" w:name="_Toc30118"/>
            <w:bookmarkEnd w:id="859"/>
            <w:bookmarkStart w:id="860" w:name="_Toc1352"/>
            <w:bookmarkEnd w:id="860"/>
            <w:bookmarkStart w:id="861" w:name="_Toc31249"/>
            <w:bookmarkEnd w:id="861"/>
            <w:bookmarkStart w:id="862" w:name="_Toc26373"/>
            <w:bookmarkEnd w:id="862"/>
            <w:bookmarkStart w:id="863" w:name="_Toc21835"/>
            <w:bookmarkEnd w:id="863"/>
            <w:bookmarkStart w:id="864" w:name="_Toc4842"/>
            <w:bookmarkEnd w:id="864"/>
            <w:bookmarkStart w:id="865" w:name="_Toc15584"/>
            <w:bookmarkEnd w:id="865"/>
            <w:bookmarkStart w:id="866" w:name="_Toc144907757"/>
            <w:bookmarkStart w:id="867" w:name="_Toc16107"/>
            <w:bookmarkStart w:id="868" w:name="_Toc143443780"/>
            <w:bookmarkStart w:id="869" w:name="_Toc4740"/>
            <w:r>
              <w:rPr>
                <w:rFonts w:ascii="仿宋" w:hAnsi="仿宋" w:eastAsia="仿宋" w:cs="仿宋"/>
                <w:b w:val="0"/>
                <w:color w:val="auto"/>
                <w:sz w:val="24"/>
                <w:szCs w:val="24"/>
                <w:highlight w:val="none"/>
              </w:rPr>
              <w:t>磋商响应文件内容</w:t>
            </w:r>
            <w:bookmarkEnd w:id="866"/>
            <w:bookmarkEnd w:id="867"/>
            <w:bookmarkEnd w:id="868"/>
            <w:bookmarkEnd w:id="869"/>
          </w:p>
        </w:tc>
        <w:tc>
          <w:tcPr>
            <w:tcW w:w="5261" w:type="dxa"/>
            <w:tcBorders>
              <w:top w:val="single" w:color="000000" w:sz="4" w:space="0"/>
              <w:left w:val="single" w:color="000000" w:sz="4" w:space="0"/>
              <w:bottom w:val="single" w:color="000000" w:sz="4" w:space="0"/>
              <w:right w:val="single" w:color="000000" w:sz="4" w:space="0"/>
            </w:tcBorders>
            <w:vAlign w:val="center"/>
          </w:tcPr>
          <w:p w14:paraId="5FFB869B">
            <w:pPr>
              <w:pStyle w:val="2"/>
              <w:keepNext w:val="0"/>
              <w:keepLines w:val="0"/>
              <w:pageBreakBefore w:val="0"/>
              <w:widowControl w:val="0"/>
              <w:kinsoku/>
              <w:wordWrap/>
              <w:overflowPunct/>
              <w:topLinePunct w:val="0"/>
              <w:autoSpaceDE/>
              <w:autoSpaceDN/>
              <w:bidi w:val="0"/>
              <w:adjustRightInd/>
              <w:snapToGrid/>
              <w:spacing w:line="440" w:lineRule="exact"/>
              <w:ind w:left="111" w:leftChars="50" w:right="0" w:rightChars="0" w:hanging="6"/>
              <w:textAlignment w:val="auto"/>
              <w:rPr>
                <w:rFonts w:hint="default" w:ascii="仿宋" w:hAnsi="仿宋" w:eastAsia="仿宋" w:cs="仿宋"/>
                <w:b w:val="0"/>
                <w:color w:val="auto"/>
                <w:sz w:val="24"/>
                <w:szCs w:val="24"/>
                <w:highlight w:val="none"/>
              </w:rPr>
            </w:pPr>
            <w:bookmarkStart w:id="870" w:name="_Toc30584"/>
            <w:bookmarkEnd w:id="870"/>
            <w:bookmarkStart w:id="871" w:name="_Toc14492"/>
            <w:bookmarkEnd w:id="871"/>
            <w:bookmarkStart w:id="872" w:name="_Toc8203"/>
            <w:bookmarkEnd w:id="872"/>
            <w:bookmarkStart w:id="873" w:name="_Toc11319"/>
            <w:bookmarkEnd w:id="873"/>
            <w:bookmarkStart w:id="874" w:name="_Toc21406"/>
            <w:bookmarkEnd w:id="874"/>
            <w:bookmarkStart w:id="875" w:name="_Toc9987"/>
            <w:bookmarkEnd w:id="875"/>
            <w:bookmarkStart w:id="876" w:name="_Toc21700"/>
            <w:bookmarkEnd w:id="876"/>
            <w:bookmarkStart w:id="877" w:name="_Toc17868"/>
            <w:bookmarkEnd w:id="877"/>
            <w:bookmarkStart w:id="878" w:name="_Toc143443781"/>
            <w:bookmarkStart w:id="879" w:name="_Toc30243"/>
            <w:bookmarkStart w:id="880" w:name="_Toc21729"/>
            <w:bookmarkStart w:id="881" w:name="_Toc144907758"/>
            <w:r>
              <w:rPr>
                <w:rFonts w:ascii="仿宋" w:hAnsi="仿宋" w:eastAsia="仿宋" w:cs="仿宋"/>
                <w:b w:val="0"/>
                <w:color w:val="auto"/>
                <w:sz w:val="24"/>
                <w:szCs w:val="24"/>
                <w:highlight w:val="none"/>
              </w:rPr>
              <w:t>符合磋商响应文件格式要求</w:t>
            </w:r>
            <w:bookmarkEnd w:id="878"/>
            <w:bookmarkEnd w:id="879"/>
            <w:bookmarkEnd w:id="880"/>
            <w:bookmarkEnd w:id="881"/>
          </w:p>
        </w:tc>
      </w:tr>
      <w:tr w14:paraId="5BAACFF8">
        <w:tblPrEx>
          <w:tblCellMar>
            <w:top w:w="0" w:type="dxa"/>
            <w:left w:w="0" w:type="dxa"/>
            <w:bottom w:w="0" w:type="dxa"/>
            <w:right w:w="0" w:type="dxa"/>
          </w:tblCellMar>
        </w:tblPrEx>
        <w:trPr>
          <w:trHeight w:val="546" w:hRule="atLeast"/>
          <w:jc w:val="center"/>
        </w:trPr>
        <w:tc>
          <w:tcPr>
            <w:tcW w:w="764" w:type="dxa"/>
            <w:tcBorders>
              <w:top w:val="single" w:color="000000" w:sz="4" w:space="0"/>
              <w:left w:val="single" w:color="000000" w:sz="4" w:space="0"/>
              <w:bottom w:val="single" w:color="000000" w:sz="4" w:space="0"/>
              <w:right w:val="single" w:color="000000" w:sz="4" w:space="0"/>
            </w:tcBorders>
            <w:vAlign w:val="center"/>
          </w:tcPr>
          <w:p w14:paraId="70990003">
            <w:pPr>
              <w:pStyle w:val="2"/>
              <w:spacing w:line="440" w:lineRule="exact"/>
              <w:ind w:left="6" w:right="-109" w:rightChars="-52" w:hanging="6"/>
              <w:jc w:val="center"/>
              <w:rPr>
                <w:rFonts w:hint="default" w:ascii="仿宋" w:hAnsi="仿宋" w:eastAsia="仿宋" w:cs="仿宋"/>
                <w:b w:val="0"/>
                <w:color w:val="auto"/>
                <w:sz w:val="24"/>
                <w:szCs w:val="24"/>
                <w:highlight w:val="none"/>
              </w:rPr>
            </w:pPr>
            <w:bookmarkStart w:id="882" w:name="_Toc21187"/>
            <w:bookmarkEnd w:id="882"/>
            <w:bookmarkStart w:id="883" w:name="_Toc70"/>
            <w:bookmarkEnd w:id="883"/>
            <w:bookmarkStart w:id="884" w:name="_Toc16688"/>
            <w:bookmarkEnd w:id="884"/>
            <w:bookmarkStart w:id="885" w:name="_Toc27804"/>
            <w:bookmarkEnd w:id="885"/>
            <w:bookmarkStart w:id="886" w:name="_Toc22366"/>
            <w:bookmarkEnd w:id="886"/>
            <w:bookmarkStart w:id="887" w:name="_Toc143443782"/>
            <w:bookmarkStart w:id="888" w:name="_Toc10753"/>
            <w:bookmarkStart w:id="889" w:name="_Toc144907759"/>
            <w:bookmarkStart w:id="890" w:name="_Toc9683"/>
            <w:r>
              <w:rPr>
                <w:rFonts w:ascii="仿宋" w:hAnsi="仿宋" w:eastAsia="仿宋" w:cs="仿宋"/>
                <w:b w:val="0"/>
                <w:color w:val="auto"/>
                <w:sz w:val="24"/>
                <w:szCs w:val="24"/>
                <w:highlight w:val="none"/>
              </w:rPr>
              <w:t>5</w:t>
            </w:r>
            <w:bookmarkEnd w:id="887"/>
            <w:bookmarkEnd w:id="888"/>
            <w:bookmarkEnd w:id="889"/>
            <w:bookmarkEnd w:id="890"/>
          </w:p>
        </w:tc>
        <w:tc>
          <w:tcPr>
            <w:tcW w:w="3474" w:type="dxa"/>
            <w:tcBorders>
              <w:top w:val="single" w:color="000000" w:sz="4" w:space="0"/>
              <w:left w:val="single" w:color="000000" w:sz="4" w:space="0"/>
              <w:bottom w:val="single" w:color="000000" w:sz="4" w:space="0"/>
              <w:right w:val="single" w:color="000000" w:sz="4" w:space="0"/>
            </w:tcBorders>
            <w:vAlign w:val="center"/>
          </w:tcPr>
          <w:p w14:paraId="5EDF4823">
            <w:pPr>
              <w:pStyle w:val="2"/>
              <w:spacing w:line="440" w:lineRule="exact"/>
              <w:ind w:left="6" w:right="-109" w:rightChars="-52" w:hanging="6"/>
              <w:rPr>
                <w:rFonts w:hint="default" w:ascii="仿宋" w:hAnsi="仿宋" w:eastAsia="仿宋" w:cs="仿宋"/>
                <w:b w:val="0"/>
                <w:color w:val="auto"/>
                <w:sz w:val="24"/>
                <w:szCs w:val="24"/>
                <w:highlight w:val="none"/>
              </w:rPr>
            </w:pPr>
            <w:bookmarkStart w:id="891" w:name="_Toc143443783"/>
            <w:bookmarkStart w:id="892" w:name="_Toc17065"/>
            <w:bookmarkStart w:id="893" w:name="_Toc144907760"/>
            <w:bookmarkStart w:id="894" w:name="_Toc15452"/>
            <w:r>
              <w:rPr>
                <w:rFonts w:ascii="仿宋" w:hAnsi="仿宋" w:eastAsia="仿宋" w:cs="仿宋"/>
                <w:b w:val="0"/>
                <w:color w:val="auto"/>
                <w:sz w:val="24"/>
                <w:szCs w:val="24"/>
                <w:highlight w:val="none"/>
              </w:rPr>
              <w:t>合同履行期限</w:t>
            </w:r>
            <w:bookmarkEnd w:id="891"/>
            <w:bookmarkEnd w:id="892"/>
            <w:bookmarkEnd w:id="893"/>
            <w:bookmarkEnd w:id="894"/>
          </w:p>
        </w:tc>
        <w:tc>
          <w:tcPr>
            <w:tcW w:w="5261" w:type="dxa"/>
            <w:tcBorders>
              <w:top w:val="single" w:color="000000" w:sz="4" w:space="0"/>
              <w:left w:val="single" w:color="000000" w:sz="4" w:space="0"/>
              <w:bottom w:val="single" w:color="000000" w:sz="4" w:space="0"/>
              <w:right w:val="single" w:color="000000" w:sz="4" w:space="0"/>
            </w:tcBorders>
            <w:vAlign w:val="center"/>
          </w:tcPr>
          <w:p w14:paraId="278B865E">
            <w:pPr>
              <w:pStyle w:val="2"/>
              <w:keepNext w:val="0"/>
              <w:keepLines w:val="0"/>
              <w:pageBreakBefore w:val="0"/>
              <w:widowControl w:val="0"/>
              <w:kinsoku/>
              <w:wordWrap/>
              <w:overflowPunct/>
              <w:topLinePunct w:val="0"/>
              <w:autoSpaceDE/>
              <w:autoSpaceDN/>
              <w:bidi w:val="0"/>
              <w:adjustRightInd/>
              <w:snapToGrid/>
              <w:spacing w:line="440" w:lineRule="exact"/>
              <w:ind w:left="111" w:leftChars="50" w:right="0" w:rightChars="0" w:hanging="6"/>
              <w:textAlignment w:val="auto"/>
              <w:rPr>
                <w:rFonts w:hint="default" w:ascii="仿宋" w:hAnsi="仿宋" w:eastAsia="仿宋" w:cs="仿宋"/>
                <w:b w:val="0"/>
                <w:color w:val="auto"/>
                <w:sz w:val="24"/>
                <w:szCs w:val="24"/>
                <w:highlight w:val="none"/>
              </w:rPr>
            </w:pPr>
            <w:bookmarkStart w:id="895" w:name="_Toc18825"/>
            <w:bookmarkEnd w:id="895"/>
            <w:bookmarkStart w:id="896" w:name="_Toc14318"/>
            <w:bookmarkEnd w:id="896"/>
            <w:bookmarkStart w:id="897" w:name="_Toc14364"/>
            <w:bookmarkEnd w:id="897"/>
            <w:bookmarkStart w:id="898" w:name="_Toc11231"/>
            <w:bookmarkEnd w:id="898"/>
            <w:bookmarkStart w:id="899" w:name="_Toc24938"/>
            <w:bookmarkEnd w:id="899"/>
            <w:bookmarkStart w:id="900" w:name="_Toc32116"/>
            <w:bookmarkEnd w:id="900"/>
            <w:r>
              <w:rPr>
                <w:rFonts w:ascii="仿宋" w:hAnsi="仿宋" w:eastAsia="仿宋" w:cs="仿宋"/>
                <w:b w:val="0"/>
                <w:color w:val="auto"/>
                <w:sz w:val="24"/>
                <w:szCs w:val="24"/>
                <w:highlight w:val="none"/>
              </w:rPr>
              <w:t>符合磋商公告要求</w:t>
            </w:r>
          </w:p>
        </w:tc>
      </w:tr>
      <w:tr w14:paraId="4F2EA8B5">
        <w:tblPrEx>
          <w:tblCellMar>
            <w:top w:w="0" w:type="dxa"/>
            <w:left w:w="0" w:type="dxa"/>
            <w:bottom w:w="0" w:type="dxa"/>
            <w:right w:w="0" w:type="dxa"/>
          </w:tblCellMar>
        </w:tblPrEx>
        <w:trPr>
          <w:trHeight w:val="638" w:hRule="atLeast"/>
          <w:jc w:val="center"/>
        </w:trPr>
        <w:tc>
          <w:tcPr>
            <w:tcW w:w="764" w:type="dxa"/>
            <w:tcBorders>
              <w:top w:val="single" w:color="000000" w:sz="4" w:space="0"/>
              <w:left w:val="single" w:color="000000" w:sz="4" w:space="0"/>
              <w:bottom w:val="single" w:color="000000" w:sz="4" w:space="0"/>
              <w:right w:val="single" w:color="000000" w:sz="4" w:space="0"/>
            </w:tcBorders>
            <w:vAlign w:val="center"/>
          </w:tcPr>
          <w:p w14:paraId="04D5D204">
            <w:pPr>
              <w:pStyle w:val="2"/>
              <w:spacing w:line="440" w:lineRule="exact"/>
              <w:ind w:left="6" w:right="-109" w:rightChars="-52" w:hanging="6"/>
              <w:jc w:val="center"/>
              <w:rPr>
                <w:rFonts w:hint="default" w:ascii="仿宋" w:hAnsi="仿宋" w:eastAsia="仿宋" w:cs="仿宋"/>
                <w:b w:val="0"/>
                <w:color w:val="auto"/>
                <w:sz w:val="24"/>
                <w:szCs w:val="24"/>
                <w:highlight w:val="none"/>
              </w:rPr>
            </w:pPr>
            <w:bookmarkStart w:id="901" w:name="_Toc144907762"/>
            <w:bookmarkStart w:id="902" w:name="_Toc17580"/>
            <w:bookmarkStart w:id="903" w:name="_Toc12566"/>
            <w:bookmarkStart w:id="904" w:name="_Toc143443785"/>
            <w:r>
              <w:rPr>
                <w:rFonts w:ascii="仿宋" w:hAnsi="仿宋" w:eastAsia="仿宋" w:cs="仿宋"/>
                <w:b w:val="0"/>
                <w:color w:val="auto"/>
                <w:sz w:val="24"/>
                <w:szCs w:val="24"/>
                <w:highlight w:val="none"/>
              </w:rPr>
              <w:t>6</w:t>
            </w:r>
            <w:bookmarkEnd w:id="901"/>
            <w:bookmarkEnd w:id="902"/>
            <w:bookmarkEnd w:id="903"/>
            <w:bookmarkEnd w:id="904"/>
          </w:p>
        </w:tc>
        <w:tc>
          <w:tcPr>
            <w:tcW w:w="3474" w:type="dxa"/>
            <w:tcBorders>
              <w:top w:val="single" w:color="000000" w:sz="4" w:space="0"/>
              <w:left w:val="single" w:color="000000" w:sz="4" w:space="0"/>
              <w:bottom w:val="single" w:color="000000" w:sz="4" w:space="0"/>
              <w:right w:val="single" w:color="000000" w:sz="4" w:space="0"/>
            </w:tcBorders>
            <w:vAlign w:val="center"/>
          </w:tcPr>
          <w:p w14:paraId="62EA6D18">
            <w:pPr>
              <w:pStyle w:val="2"/>
              <w:spacing w:line="440" w:lineRule="exact"/>
              <w:ind w:left="6" w:right="-109" w:rightChars="-52" w:hanging="6"/>
              <w:rPr>
                <w:rFonts w:hint="default" w:ascii="仿宋" w:hAnsi="仿宋" w:eastAsia="仿宋" w:cs="仿宋"/>
                <w:b w:val="0"/>
                <w:color w:val="auto"/>
                <w:sz w:val="24"/>
                <w:szCs w:val="24"/>
                <w:highlight w:val="none"/>
              </w:rPr>
            </w:pPr>
            <w:bookmarkStart w:id="905" w:name="_Toc31521"/>
            <w:bookmarkEnd w:id="905"/>
            <w:bookmarkStart w:id="906" w:name="_Toc26678"/>
            <w:bookmarkEnd w:id="906"/>
            <w:bookmarkStart w:id="907" w:name="_Toc10506"/>
            <w:bookmarkEnd w:id="907"/>
            <w:bookmarkStart w:id="908" w:name="_Toc10236"/>
            <w:bookmarkEnd w:id="908"/>
            <w:bookmarkStart w:id="909" w:name="_Toc14488"/>
            <w:bookmarkEnd w:id="909"/>
            <w:bookmarkStart w:id="910" w:name="_Toc30625"/>
            <w:bookmarkEnd w:id="910"/>
            <w:bookmarkStart w:id="911" w:name="_Toc11955"/>
            <w:bookmarkEnd w:id="911"/>
            <w:bookmarkStart w:id="912" w:name="_Toc12882"/>
            <w:bookmarkEnd w:id="912"/>
            <w:bookmarkStart w:id="913" w:name="_Toc143443786"/>
            <w:bookmarkStart w:id="914" w:name="_Toc9976"/>
            <w:bookmarkStart w:id="915" w:name="_Toc2715"/>
            <w:bookmarkStart w:id="916" w:name="_Toc144907763"/>
            <w:r>
              <w:rPr>
                <w:rFonts w:ascii="仿宋" w:hAnsi="仿宋" w:eastAsia="仿宋" w:cs="仿宋"/>
                <w:b w:val="0"/>
                <w:color w:val="auto"/>
                <w:sz w:val="24"/>
                <w:szCs w:val="24"/>
                <w:highlight w:val="none"/>
              </w:rPr>
              <w:t>投标有效期</w:t>
            </w:r>
            <w:bookmarkEnd w:id="913"/>
            <w:bookmarkEnd w:id="914"/>
            <w:bookmarkEnd w:id="915"/>
            <w:bookmarkEnd w:id="916"/>
          </w:p>
        </w:tc>
        <w:tc>
          <w:tcPr>
            <w:tcW w:w="5261" w:type="dxa"/>
            <w:tcBorders>
              <w:top w:val="single" w:color="000000" w:sz="4" w:space="0"/>
              <w:left w:val="single" w:color="000000" w:sz="4" w:space="0"/>
              <w:bottom w:val="single" w:color="000000" w:sz="4" w:space="0"/>
              <w:right w:val="single" w:color="000000" w:sz="4" w:space="0"/>
            </w:tcBorders>
            <w:vAlign w:val="center"/>
          </w:tcPr>
          <w:p w14:paraId="3CBDFACA">
            <w:pPr>
              <w:pStyle w:val="2"/>
              <w:keepNext w:val="0"/>
              <w:keepLines w:val="0"/>
              <w:pageBreakBefore w:val="0"/>
              <w:widowControl w:val="0"/>
              <w:kinsoku/>
              <w:wordWrap/>
              <w:overflowPunct/>
              <w:topLinePunct w:val="0"/>
              <w:autoSpaceDE/>
              <w:autoSpaceDN/>
              <w:bidi w:val="0"/>
              <w:adjustRightInd/>
              <w:snapToGrid/>
              <w:spacing w:line="440" w:lineRule="exact"/>
              <w:ind w:left="111" w:leftChars="50" w:right="0" w:rightChars="0" w:hanging="6"/>
              <w:textAlignment w:val="auto"/>
              <w:rPr>
                <w:rFonts w:hint="default" w:ascii="仿宋" w:hAnsi="仿宋" w:eastAsia="仿宋" w:cs="仿宋"/>
                <w:b w:val="0"/>
                <w:color w:val="auto"/>
                <w:sz w:val="24"/>
                <w:szCs w:val="24"/>
                <w:highlight w:val="none"/>
              </w:rPr>
            </w:pPr>
            <w:bookmarkStart w:id="917" w:name="_Toc22459"/>
            <w:bookmarkEnd w:id="917"/>
            <w:bookmarkStart w:id="918" w:name="_Toc26725"/>
            <w:bookmarkEnd w:id="918"/>
            <w:bookmarkStart w:id="919" w:name="_Toc6542"/>
            <w:bookmarkEnd w:id="919"/>
            <w:bookmarkStart w:id="920" w:name="_Toc28525"/>
            <w:bookmarkEnd w:id="920"/>
            <w:bookmarkStart w:id="921" w:name="_Toc14259"/>
            <w:bookmarkEnd w:id="921"/>
            <w:bookmarkStart w:id="922" w:name="_Toc12806"/>
            <w:bookmarkEnd w:id="922"/>
            <w:bookmarkStart w:id="923" w:name="_Toc7313"/>
            <w:bookmarkStart w:id="924" w:name="_Toc143443787"/>
            <w:bookmarkStart w:id="925" w:name="_Toc29902"/>
            <w:bookmarkStart w:id="926" w:name="_Toc144907764"/>
            <w:r>
              <w:rPr>
                <w:rFonts w:hint="eastAsia" w:ascii="仿宋" w:hAnsi="仿宋" w:eastAsia="仿宋" w:cs="仿宋"/>
                <w:b w:val="0"/>
                <w:color w:val="auto"/>
                <w:sz w:val="24"/>
                <w:szCs w:val="24"/>
                <w:highlight w:val="none"/>
                <w:lang w:val="en-US" w:eastAsia="zh-CN"/>
              </w:rPr>
              <w:t>90</w:t>
            </w:r>
            <w:r>
              <w:rPr>
                <w:rFonts w:ascii="仿宋" w:hAnsi="仿宋" w:eastAsia="仿宋" w:cs="仿宋"/>
                <w:b w:val="0"/>
                <w:color w:val="auto"/>
                <w:sz w:val="24"/>
                <w:szCs w:val="24"/>
                <w:highlight w:val="none"/>
              </w:rPr>
              <w:t>日</w:t>
            </w:r>
            <w:bookmarkEnd w:id="923"/>
            <w:bookmarkEnd w:id="924"/>
            <w:bookmarkEnd w:id="925"/>
            <w:bookmarkEnd w:id="926"/>
          </w:p>
        </w:tc>
      </w:tr>
    </w:tbl>
    <w:p w14:paraId="09D6AB18">
      <w:pPr>
        <w:spacing w:line="360" w:lineRule="auto"/>
        <w:rPr>
          <w:rFonts w:hint="eastAsia" w:ascii="仿宋" w:hAnsi="仿宋" w:eastAsia="仿宋" w:cs="仿宋"/>
          <w:b/>
          <w:bCs/>
          <w:color w:val="000000"/>
          <w:kern w:val="0"/>
          <w:sz w:val="28"/>
          <w:szCs w:val="28"/>
          <w:highlight w:val="none"/>
          <w:lang w:val="en-US" w:eastAsia="zh-CN" w:bidi="ar-SA"/>
        </w:rPr>
      </w:pPr>
      <w:bookmarkStart w:id="927" w:name="_Toc26515"/>
      <w:bookmarkEnd w:id="927"/>
      <w:bookmarkStart w:id="928" w:name="_Toc3823"/>
      <w:bookmarkEnd w:id="928"/>
      <w:bookmarkStart w:id="929" w:name="_Toc9271"/>
      <w:bookmarkEnd w:id="929"/>
      <w:bookmarkStart w:id="930" w:name="_Toc17903"/>
      <w:bookmarkEnd w:id="930"/>
      <w:bookmarkStart w:id="931" w:name="_Toc18544"/>
      <w:bookmarkEnd w:id="931"/>
      <w:bookmarkStart w:id="932" w:name="_Toc9351"/>
      <w:bookmarkEnd w:id="932"/>
      <w:bookmarkStart w:id="933" w:name="_Toc26176"/>
      <w:bookmarkEnd w:id="933"/>
      <w:bookmarkStart w:id="934" w:name="_Toc14350"/>
      <w:bookmarkEnd w:id="934"/>
      <w:bookmarkStart w:id="935" w:name="_Toc11938"/>
      <w:bookmarkStart w:id="936" w:name="_Toc7100"/>
      <w:bookmarkStart w:id="937" w:name="_Toc144907765"/>
      <w:bookmarkStart w:id="938" w:name="_Toc143443788"/>
      <w:r>
        <w:rPr>
          <w:rFonts w:hint="eastAsia" w:ascii="仿宋" w:hAnsi="仿宋" w:eastAsia="仿宋" w:cs="仿宋"/>
          <w:b/>
          <w:bCs/>
          <w:color w:val="000000"/>
          <w:kern w:val="0"/>
          <w:sz w:val="28"/>
          <w:szCs w:val="28"/>
          <w:highlight w:val="none"/>
          <w:lang w:val="en-US" w:eastAsia="zh-CN" w:bidi="ar-SA"/>
        </w:rPr>
        <w:t>1.2异常低价投标审查</w:t>
      </w:r>
    </w:p>
    <w:tbl>
      <w:tblPr>
        <w:tblStyle w:val="31"/>
        <w:tblW w:w="9605" w:type="dxa"/>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509"/>
        <w:gridCol w:w="4161"/>
        <w:gridCol w:w="3264"/>
      </w:tblGrid>
      <w:tr w14:paraId="11CF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9605" w:type="dxa"/>
            <w:gridSpan w:val="4"/>
            <w:noWrap w:val="0"/>
            <w:vAlign w:val="top"/>
          </w:tcPr>
          <w:p w14:paraId="11840FB2">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异常低价投标审查表</w:t>
            </w:r>
          </w:p>
        </w:tc>
      </w:tr>
      <w:tr w14:paraId="15F9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671" w:type="dxa"/>
            <w:noWrap w:val="0"/>
            <w:vAlign w:val="center"/>
          </w:tcPr>
          <w:p w14:paraId="25E7BC29">
            <w:pPr>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序号</w:t>
            </w:r>
          </w:p>
        </w:tc>
        <w:tc>
          <w:tcPr>
            <w:tcW w:w="1509" w:type="dxa"/>
            <w:noWrap w:val="0"/>
            <w:vAlign w:val="center"/>
          </w:tcPr>
          <w:p w14:paraId="7796A733">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评审指标</w:t>
            </w:r>
          </w:p>
        </w:tc>
        <w:tc>
          <w:tcPr>
            <w:tcW w:w="4161" w:type="dxa"/>
            <w:noWrap w:val="0"/>
            <w:vAlign w:val="center"/>
          </w:tcPr>
          <w:p w14:paraId="4342DC13">
            <w:pPr>
              <w:keepNext w:val="0"/>
              <w:keepLines w:val="0"/>
              <w:pageBreakBefore w:val="0"/>
              <w:widowControl w:val="0"/>
              <w:kinsoku/>
              <w:wordWrap/>
              <w:overflowPunct/>
              <w:topLinePunct w:val="0"/>
              <w:autoSpaceDE/>
              <w:autoSpaceDN/>
              <w:bidi w:val="0"/>
              <w:adjustRightInd/>
              <w:snapToGrid/>
              <w:spacing w:line="440" w:lineRule="exact"/>
              <w:ind w:firstLine="240" w:firstLineChars="10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评审标准</w:t>
            </w:r>
          </w:p>
        </w:tc>
        <w:tc>
          <w:tcPr>
            <w:tcW w:w="3264" w:type="dxa"/>
            <w:noWrap w:val="0"/>
            <w:vAlign w:val="center"/>
          </w:tcPr>
          <w:p w14:paraId="6BF1C6DE">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格式及材料要求</w:t>
            </w:r>
          </w:p>
        </w:tc>
      </w:tr>
      <w:tr w14:paraId="3BC4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8" w:hRule="atLeast"/>
        </w:trPr>
        <w:tc>
          <w:tcPr>
            <w:tcW w:w="671" w:type="dxa"/>
            <w:noWrap w:val="0"/>
            <w:vAlign w:val="center"/>
          </w:tcPr>
          <w:p w14:paraId="30F7607C">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1509" w:type="dxa"/>
            <w:noWrap w:val="0"/>
            <w:vAlign w:val="center"/>
          </w:tcPr>
          <w:p w14:paraId="7F044F6C">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异常低价投标审查</w:t>
            </w:r>
          </w:p>
        </w:tc>
        <w:tc>
          <w:tcPr>
            <w:tcW w:w="4161" w:type="dxa"/>
            <w:noWrap w:val="0"/>
            <w:vAlign w:val="center"/>
          </w:tcPr>
          <w:p w14:paraId="773D59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b w:val="0"/>
                <w:bCs w:val="0"/>
                <w:i w:val="0"/>
                <w:iCs w:val="0"/>
                <w:color w:val="auto"/>
                <w:sz w:val="24"/>
                <w:szCs w:val="24"/>
                <w:highlight w:val="none"/>
                <w:u w:val="none"/>
                <w:lang w:val="en-US" w:eastAsia="zh-CN"/>
              </w:rPr>
            </w:pPr>
            <w:r>
              <w:rPr>
                <w:rFonts w:hint="eastAsia" w:ascii="仿宋" w:hAnsi="仿宋" w:eastAsia="仿宋" w:cs="仿宋"/>
                <w:b w:val="0"/>
                <w:bCs w:val="0"/>
                <w:i w:val="0"/>
                <w:iCs w:val="0"/>
                <w:color w:val="auto"/>
                <w:sz w:val="24"/>
                <w:szCs w:val="24"/>
                <w:highlight w:val="none"/>
                <w:u w:val="none"/>
                <w:lang w:val="en-US" w:eastAsia="zh-CN"/>
              </w:rPr>
              <w:t>（1）投标报价＜全部通过符合性审查投标人投标报价平均值×</w:t>
            </w:r>
            <w:r>
              <w:rPr>
                <w:rFonts w:hint="eastAsia" w:ascii="仿宋" w:hAnsi="仿宋" w:eastAsia="仿宋" w:cs="仿宋"/>
                <w:b w:val="0"/>
                <w:bCs w:val="0"/>
                <w:i w:val="0"/>
                <w:iCs w:val="0"/>
                <w:color w:val="auto"/>
                <w:sz w:val="24"/>
                <w:szCs w:val="24"/>
                <w:highlight w:val="none"/>
                <w:u w:val="single"/>
                <w:lang w:val="en-US" w:eastAsia="zh-CN"/>
              </w:rPr>
              <w:t>65%</w:t>
            </w:r>
            <w:r>
              <w:rPr>
                <w:rFonts w:hint="eastAsia" w:ascii="仿宋" w:hAnsi="仿宋" w:eastAsia="仿宋" w:cs="仿宋"/>
                <w:b w:val="0"/>
                <w:bCs w:val="0"/>
                <w:i w:val="0"/>
                <w:iCs w:val="0"/>
                <w:color w:val="auto"/>
                <w:sz w:val="24"/>
                <w:szCs w:val="24"/>
                <w:highlight w:val="none"/>
                <w:u w:val="none"/>
                <w:lang w:val="en-US" w:eastAsia="zh-CN"/>
              </w:rPr>
              <w:t>；</w:t>
            </w:r>
          </w:p>
          <w:p w14:paraId="7931FDA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b w:val="0"/>
                <w:bCs w:val="0"/>
                <w:i w:val="0"/>
                <w:iCs w:val="0"/>
                <w:color w:val="auto"/>
                <w:sz w:val="24"/>
                <w:szCs w:val="24"/>
                <w:highlight w:val="none"/>
                <w:u w:val="none"/>
                <w:lang w:val="en-US" w:eastAsia="zh-CN"/>
              </w:rPr>
            </w:pPr>
            <w:r>
              <w:rPr>
                <w:rFonts w:hint="eastAsia" w:ascii="仿宋" w:hAnsi="仿宋" w:eastAsia="仿宋" w:cs="仿宋"/>
                <w:b w:val="0"/>
                <w:bCs w:val="0"/>
                <w:i w:val="0"/>
                <w:iCs w:val="0"/>
                <w:color w:val="auto"/>
                <w:sz w:val="24"/>
                <w:szCs w:val="24"/>
                <w:highlight w:val="none"/>
                <w:u w:val="none"/>
                <w:lang w:val="en-US" w:eastAsia="zh-CN"/>
              </w:rPr>
              <w:t>（2）投标报价＜通过符合性审查的次低报价投标人投标报价×</w:t>
            </w:r>
            <w:r>
              <w:rPr>
                <w:rFonts w:hint="eastAsia" w:ascii="仿宋" w:hAnsi="仿宋" w:eastAsia="仿宋" w:cs="仿宋"/>
                <w:b w:val="0"/>
                <w:bCs w:val="0"/>
                <w:i w:val="0"/>
                <w:iCs w:val="0"/>
                <w:color w:val="auto"/>
                <w:sz w:val="24"/>
                <w:szCs w:val="24"/>
                <w:highlight w:val="none"/>
                <w:u w:val="single"/>
                <w:lang w:val="en-US" w:eastAsia="zh-CN"/>
              </w:rPr>
              <w:t>65%</w:t>
            </w:r>
            <w:r>
              <w:rPr>
                <w:rFonts w:hint="eastAsia" w:ascii="仿宋" w:hAnsi="仿宋" w:eastAsia="仿宋" w:cs="仿宋"/>
                <w:b w:val="0"/>
                <w:bCs w:val="0"/>
                <w:i w:val="0"/>
                <w:iCs w:val="0"/>
                <w:color w:val="auto"/>
                <w:sz w:val="24"/>
                <w:szCs w:val="24"/>
                <w:highlight w:val="none"/>
                <w:u w:val="none"/>
                <w:lang w:val="en-US" w:eastAsia="zh-CN"/>
              </w:rPr>
              <w:t>；</w:t>
            </w:r>
          </w:p>
          <w:p w14:paraId="4AF0230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b w:val="0"/>
                <w:bCs w:val="0"/>
                <w:i w:val="0"/>
                <w:iCs w:val="0"/>
                <w:color w:val="auto"/>
                <w:sz w:val="24"/>
                <w:szCs w:val="24"/>
                <w:highlight w:val="yellow"/>
                <w:u w:val="none"/>
                <w:lang w:val="en-US" w:eastAsia="zh-CN"/>
              </w:rPr>
            </w:pPr>
            <w:r>
              <w:rPr>
                <w:rFonts w:hint="eastAsia" w:ascii="仿宋" w:hAnsi="仿宋" w:eastAsia="仿宋" w:cs="仿宋"/>
                <w:b w:val="0"/>
                <w:bCs w:val="0"/>
                <w:i w:val="0"/>
                <w:iCs w:val="0"/>
                <w:color w:val="auto"/>
                <w:sz w:val="24"/>
                <w:szCs w:val="24"/>
                <w:highlight w:val="none"/>
                <w:u w:val="none"/>
                <w:lang w:val="en-US" w:eastAsia="zh-CN"/>
              </w:rPr>
              <w:t>（3）投标报价＜采购项目最高限价（</w:t>
            </w:r>
            <w:r>
              <w:rPr>
                <w:rFonts w:hint="eastAsia" w:ascii="仿宋" w:hAnsi="仿宋" w:eastAsia="仿宋" w:cs="仿宋"/>
                <w:b w:val="0"/>
                <w:bCs w:val="0"/>
                <w:color w:val="auto"/>
                <w:sz w:val="24"/>
                <w:szCs w:val="24"/>
                <w:highlight w:val="none"/>
                <w:lang w:val="en-US" w:eastAsia="zh-CN"/>
              </w:rPr>
              <w:t>如采购项目未设定最高限价的，以采购项目预算金额作为最高限价</w:t>
            </w:r>
            <w:r>
              <w:rPr>
                <w:rFonts w:hint="eastAsia" w:ascii="仿宋" w:hAnsi="仿宋" w:eastAsia="仿宋" w:cs="仿宋"/>
                <w:b w:val="0"/>
                <w:bCs w:val="0"/>
                <w:i w:val="0"/>
                <w:iCs w:val="0"/>
                <w:color w:val="auto"/>
                <w:sz w:val="24"/>
                <w:szCs w:val="24"/>
                <w:highlight w:val="none"/>
                <w:u w:val="none"/>
                <w:lang w:val="en-US" w:eastAsia="zh-CN"/>
              </w:rPr>
              <w:t>）×</w:t>
            </w:r>
            <w:r>
              <w:rPr>
                <w:rFonts w:hint="eastAsia" w:ascii="仿宋" w:hAnsi="仿宋" w:eastAsia="仿宋" w:cs="仿宋"/>
                <w:b w:val="0"/>
                <w:bCs w:val="0"/>
                <w:i w:val="0"/>
                <w:iCs w:val="0"/>
                <w:color w:val="auto"/>
                <w:sz w:val="24"/>
                <w:szCs w:val="24"/>
                <w:highlight w:val="none"/>
                <w:u w:val="single"/>
                <w:lang w:val="en-US" w:eastAsia="zh-CN"/>
              </w:rPr>
              <w:t>65%</w:t>
            </w:r>
            <w:r>
              <w:rPr>
                <w:rFonts w:hint="eastAsia" w:ascii="仿宋" w:hAnsi="仿宋" w:eastAsia="仿宋" w:cs="仿宋"/>
                <w:b w:val="0"/>
                <w:bCs w:val="0"/>
                <w:i w:val="0"/>
                <w:iCs w:val="0"/>
                <w:color w:val="auto"/>
                <w:sz w:val="24"/>
                <w:szCs w:val="24"/>
                <w:highlight w:val="none"/>
                <w:u w:val="none"/>
                <w:lang w:val="en-US" w:eastAsia="zh-CN"/>
              </w:rPr>
              <w:t>；</w:t>
            </w:r>
          </w:p>
          <w:p w14:paraId="624A78C9">
            <w:pPr>
              <w:pStyle w:val="8"/>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lang w:val="en-US" w:eastAsia="zh-CN"/>
              </w:rPr>
              <w:t>（4）评标委员会基于专业判断，认为投标人报价过低，有可能影响产品质量或者不能诚信履约的其他情形。</w:t>
            </w:r>
          </w:p>
        </w:tc>
        <w:tc>
          <w:tcPr>
            <w:tcW w:w="3264" w:type="dxa"/>
            <w:noWrap w:val="0"/>
            <w:vAlign w:val="center"/>
          </w:tcPr>
          <w:p w14:paraId="1B367B0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投标人在评审现场合理的时间内（30分钟）对投标价格作出解释，提供项目具体成本测算等与报价合理性相关的书面说明及必要的证明材料，包括但不限于原材料成本、人工成本、制造费用等。</w:t>
            </w:r>
          </w:p>
          <w:p w14:paraId="33A4507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sz w:val="24"/>
                <w:szCs w:val="24"/>
                <w:highlight w:val="none"/>
                <w:lang w:val="en-US" w:eastAsia="zh-CN"/>
              </w:rPr>
            </w:pPr>
          </w:p>
        </w:tc>
      </w:tr>
    </w:tbl>
    <w:p w14:paraId="28EC03F3">
      <w:pPr>
        <w:snapToGrid w:val="0"/>
        <w:spacing w:line="440" w:lineRule="exact"/>
        <w:ind w:firstLine="560" w:firstLineChars="200"/>
        <w:jc w:val="left"/>
        <w:rPr>
          <w:rStyle w:val="52"/>
          <w:rFonts w:hint="eastAsia" w:ascii="仿宋" w:hAnsi="仿宋" w:eastAsia="仿宋" w:cs="仿宋"/>
          <w:color w:val="auto"/>
          <w:sz w:val="28"/>
          <w:szCs w:val="28"/>
          <w:highlight w:val="none"/>
          <w:lang w:val="en-US" w:eastAsia="zh-CN"/>
        </w:rPr>
      </w:pPr>
      <w:r>
        <w:rPr>
          <w:rStyle w:val="52"/>
          <w:rFonts w:hint="eastAsia" w:ascii="仿宋" w:hAnsi="仿宋" w:eastAsia="仿宋" w:cs="仿宋"/>
          <w:color w:val="auto"/>
          <w:sz w:val="28"/>
          <w:szCs w:val="28"/>
          <w:highlight w:val="none"/>
          <w:lang w:val="en-US" w:eastAsia="zh-CN"/>
        </w:rPr>
        <w:t>注：</w:t>
      </w:r>
    </w:p>
    <w:p w14:paraId="5F187873">
      <w:pPr>
        <w:snapToGrid w:val="0"/>
        <w:spacing w:line="440" w:lineRule="exact"/>
        <w:ind w:firstLine="480" w:firstLineChars="200"/>
        <w:jc w:val="left"/>
        <w:rPr>
          <w:rStyle w:val="52"/>
          <w:rFonts w:hint="eastAsia" w:ascii="仿宋" w:hAnsi="仿宋" w:eastAsia="仿宋" w:cs="仿宋"/>
          <w:color w:val="auto"/>
          <w:sz w:val="24"/>
          <w:szCs w:val="24"/>
          <w:highlight w:val="none"/>
          <w:lang w:val="en-US" w:eastAsia="zh-CN"/>
        </w:rPr>
      </w:pPr>
      <w:r>
        <w:rPr>
          <w:rStyle w:val="52"/>
          <w:rFonts w:hint="eastAsia" w:ascii="仿宋" w:hAnsi="仿宋" w:eastAsia="仿宋" w:cs="仿宋"/>
          <w:color w:val="auto"/>
          <w:sz w:val="24"/>
          <w:szCs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3）项情形，投标人已随投标文件一并提交相关书面说明及必要的证明材料的，在评审现场可不再重复提交。</w:t>
      </w:r>
    </w:p>
    <w:p w14:paraId="3878633B">
      <w:pPr>
        <w:snapToGrid w:val="0"/>
        <w:spacing w:line="440" w:lineRule="exact"/>
        <w:ind w:firstLine="480" w:firstLineChars="200"/>
        <w:jc w:val="left"/>
        <w:rPr>
          <w:rStyle w:val="52"/>
          <w:rFonts w:hint="eastAsia" w:ascii="仿宋" w:hAnsi="仿宋" w:eastAsia="仿宋" w:cs="仿宋"/>
          <w:color w:val="auto"/>
          <w:sz w:val="24"/>
          <w:szCs w:val="24"/>
          <w:highlight w:val="none"/>
          <w:lang w:val="en-US" w:eastAsia="zh-CN"/>
        </w:rPr>
      </w:pPr>
      <w:r>
        <w:rPr>
          <w:rStyle w:val="52"/>
          <w:rFonts w:hint="eastAsia" w:ascii="仿宋" w:hAnsi="仿宋" w:eastAsia="仿宋" w:cs="仿宋"/>
          <w:color w:val="auto"/>
          <w:sz w:val="24"/>
          <w:szCs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无效投标处理。</w:t>
      </w:r>
    </w:p>
    <w:p w14:paraId="5CE6B71C">
      <w:pPr>
        <w:spacing w:line="440" w:lineRule="exact"/>
        <w:jc w:val="left"/>
        <w:rPr>
          <w:rStyle w:val="52"/>
          <w:rFonts w:ascii="仿宋" w:hAnsi="仿宋" w:eastAsia="仿宋" w:cs="仿宋"/>
          <w:color w:val="auto"/>
          <w:sz w:val="24"/>
          <w:szCs w:val="24"/>
          <w:highlight w:val="none"/>
        </w:rPr>
      </w:pPr>
      <w:r>
        <w:rPr>
          <w:rStyle w:val="52"/>
          <w:rFonts w:hint="eastAsia" w:ascii="仿宋" w:hAnsi="仿宋" w:eastAsia="仿宋" w:cs="仿宋"/>
          <w:color w:val="auto"/>
          <w:sz w:val="24"/>
          <w:szCs w:val="24"/>
          <w:highlight w:val="none"/>
        </w:rPr>
        <w:t>（注：磋商文件要求提供的证明材料，无论何种原因，磋商响应文件中未提供与之内容完全一致的复印件或扫描件的，磋商小组可以视同其未提供）。</w:t>
      </w:r>
    </w:p>
    <w:p w14:paraId="04E052D6">
      <w:pPr>
        <w:pStyle w:val="2"/>
        <w:numPr>
          <w:ilvl w:val="0"/>
          <w:numId w:val="0"/>
        </w:numPr>
        <w:spacing w:line="440" w:lineRule="exact"/>
        <w:ind w:left="922" w:leftChars="0" w:right="-109" w:rightChars="-52" w:hanging="360" w:firstLineChars="0"/>
        <w:rPr>
          <w:rFonts w:hint="default" w:ascii="仿宋" w:hAnsi="仿宋" w:eastAsia="仿宋" w:cs="仿宋"/>
          <w:color w:val="auto"/>
          <w:sz w:val="24"/>
          <w:szCs w:val="24"/>
          <w:highlight w:val="none"/>
        </w:rPr>
      </w:pPr>
      <w:r>
        <w:rPr>
          <w:rFonts w:hint="default" w:ascii="仿宋" w:hAnsi="仿宋" w:eastAsia="仿宋" w:cs="仿宋"/>
          <w:b/>
          <w:color w:val="auto"/>
          <w:kern w:val="0"/>
          <w:sz w:val="24"/>
          <w:szCs w:val="24"/>
          <w:highlight w:val="none"/>
          <w:lang w:val="en-US" w:eastAsia="zh-CN" w:bidi="ar-SA"/>
        </w:rPr>
        <w:t>2.</w:t>
      </w:r>
      <w:r>
        <w:rPr>
          <w:rFonts w:ascii="仿宋" w:hAnsi="仿宋" w:eastAsia="仿宋" w:cs="仿宋"/>
          <w:color w:val="auto"/>
          <w:sz w:val="24"/>
          <w:szCs w:val="24"/>
          <w:highlight w:val="none"/>
        </w:rPr>
        <w:t>评分细则详细评审</w:t>
      </w:r>
      <w:bookmarkEnd w:id="935"/>
      <w:bookmarkEnd w:id="936"/>
      <w:bookmarkEnd w:id="937"/>
      <w:bookmarkEnd w:id="938"/>
    </w:p>
    <w:p w14:paraId="57488CF8">
      <w:pPr>
        <w:spacing w:line="440" w:lineRule="exact"/>
        <w:ind w:left="6" w:right="-109" w:rightChars="-52" w:firstLine="480" w:firstLineChars="200"/>
        <w:rPr>
          <w:rFonts w:hint="default" w:ascii="仿宋" w:hAnsi="仿宋" w:eastAsia="仿宋" w:cs="仿宋"/>
          <w:bCs/>
          <w:color w:val="auto"/>
          <w:kern w:val="44"/>
          <w:sz w:val="24"/>
          <w:szCs w:val="24"/>
          <w:highlight w:val="none"/>
          <w:lang w:val="en-US" w:eastAsia="zh-CN"/>
        </w:rPr>
      </w:pPr>
      <w:r>
        <w:rPr>
          <w:rFonts w:hint="eastAsia" w:ascii="仿宋" w:hAnsi="仿宋" w:eastAsia="仿宋" w:cs="仿宋"/>
          <w:bCs/>
          <w:color w:val="auto"/>
          <w:kern w:val="44"/>
          <w:sz w:val="24"/>
          <w:szCs w:val="24"/>
          <w:highlight w:val="none"/>
        </w:rPr>
        <w:t>经初步评审合格的磋商响应文件，磋商小组对其</w:t>
      </w:r>
      <w:r>
        <w:rPr>
          <w:rFonts w:hint="eastAsia" w:ascii="仿宋" w:hAnsi="仿宋" w:eastAsia="仿宋" w:cs="仿宋"/>
          <w:bCs/>
          <w:color w:val="auto"/>
          <w:kern w:val="44"/>
          <w:sz w:val="24"/>
          <w:szCs w:val="24"/>
          <w:highlight w:val="none"/>
          <w:lang w:eastAsia="zh-CN"/>
        </w:rPr>
        <w:t>做</w:t>
      </w:r>
      <w:r>
        <w:rPr>
          <w:rFonts w:hint="eastAsia" w:ascii="仿宋" w:hAnsi="仿宋" w:eastAsia="仿宋" w:cs="仿宋"/>
          <w:bCs/>
          <w:color w:val="auto"/>
          <w:kern w:val="44"/>
          <w:sz w:val="24"/>
          <w:szCs w:val="24"/>
          <w:highlight w:val="none"/>
        </w:rPr>
        <w:t>进一步评审、比较，并量化打分，总分为100 分。</w:t>
      </w:r>
    </w:p>
    <w:tbl>
      <w:tblPr>
        <w:tblStyle w:val="30"/>
        <w:tblW w:w="967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37"/>
        <w:gridCol w:w="1258"/>
        <w:gridCol w:w="831"/>
        <w:gridCol w:w="6852"/>
      </w:tblGrid>
      <w:tr w14:paraId="758152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737" w:type="dxa"/>
            <w:tcBorders>
              <w:top w:val="single" w:color="auto" w:sz="2" w:space="0"/>
              <w:left w:val="single" w:color="000000" w:sz="4" w:space="0"/>
              <w:bottom w:val="single" w:color="auto" w:sz="2" w:space="0"/>
              <w:right w:val="single" w:color="000000" w:sz="6" w:space="0"/>
            </w:tcBorders>
            <w:shd w:val="clear" w:color="auto" w:fill="D8D8D8"/>
            <w:noWrap w:val="0"/>
            <w:vAlign w:val="top"/>
          </w:tcPr>
          <w:p w14:paraId="3085008F">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序号</w:t>
            </w:r>
          </w:p>
        </w:tc>
        <w:tc>
          <w:tcPr>
            <w:tcW w:w="1258" w:type="dxa"/>
            <w:tcBorders>
              <w:top w:val="single" w:color="auto" w:sz="2" w:space="0"/>
              <w:left w:val="single" w:color="000000" w:sz="6" w:space="0"/>
              <w:bottom w:val="single" w:color="auto" w:sz="2" w:space="0"/>
              <w:right w:val="single" w:color="000000" w:sz="6" w:space="0"/>
            </w:tcBorders>
            <w:shd w:val="clear" w:color="auto" w:fill="D8D8D8"/>
            <w:noWrap w:val="0"/>
            <w:vAlign w:val="top"/>
          </w:tcPr>
          <w:p w14:paraId="6EBABFBF">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2"/>
                <w:sz w:val="24"/>
                <w:szCs w:val="24"/>
                <w14:textFill>
                  <w14:solidFill>
                    <w14:schemeClr w14:val="tx1"/>
                  </w14:solidFill>
                </w14:textFill>
              </w:rPr>
              <w:t>评</w:t>
            </w:r>
            <w:r>
              <w:rPr>
                <w:rFonts w:hint="eastAsia" w:ascii="仿宋" w:hAnsi="仿宋" w:eastAsia="仿宋" w:cs="仿宋"/>
                <w:color w:val="000000" w:themeColor="text1"/>
                <w:spacing w:val="9"/>
                <w:sz w:val="24"/>
                <w:szCs w:val="24"/>
                <w14:textFill>
                  <w14:solidFill>
                    <w14:schemeClr w14:val="tx1"/>
                  </w14:solidFill>
                </w14:textFill>
              </w:rPr>
              <w:t>分要素</w:t>
            </w:r>
          </w:p>
        </w:tc>
        <w:tc>
          <w:tcPr>
            <w:tcW w:w="831" w:type="dxa"/>
            <w:tcBorders>
              <w:top w:val="single" w:color="auto" w:sz="2" w:space="0"/>
              <w:left w:val="single" w:color="000000" w:sz="6" w:space="0"/>
              <w:bottom w:val="single" w:color="auto" w:sz="2" w:space="0"/>
              <w:right w:val="single" w:color="000000" w:sz="6" w:space="0"/>
            </w:tcBorders>
            <w:shd w:val="clear" w:color="auto" w:fill="D8D8D8"/>
            <w:noWrap w:val="0"/>
            <w:vAlign w:val="top"/>
          </w:tcPr>
          <w:p w14:paraId="6544DCFC">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分值</w:t>
            </w:r>
          </w:p>
        </w:tc>
        <w:tc>
          <w:tcPr>
            <w:tcW w:w="6852" w:type="dxa"/>
            <w:tcBorders>
              <w:top w:val="single" w:color="auto" w:sz="2" w:space="0"/>
              <w:left w:val="single" w:color="000000" w:sz="6" w:space="0"/>
              <w:bottom w:val="single" w:color="auto" w:sz="2" w:space="0"/>
              <w:right w:val="single" w:color="000000" w:sz="6" w:space="0"/>
            </w:tcBorders>
            <w:shd w:val="clear" w:color="auto" w:fill="D8D8D8"/>
            <w:noWrap w:val="0"/>
            <w:vAlign w:val="top"/>
          </w:tcPr>
          <w:p w14:paraId="52233DE8">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2"/>
                <w:sz w:val="24"/>
                <w:szCs w:val="24"/>
                <w14:textFill>
                  <w14:solidFill>
                    <w14:schemeClr w14:val="tx1"/>
                  </w14:solidFill>
                </w14:textFill>
              </w:rPr>
              <w:t>评</w:t>
            </w:r>
            <w:r>
              <w:rPr>
                <w:rFonts w:hint="eastAsia" w:ascii="仿宋" w:hAnsi="仿宋" w:eastAsia="仿宋" w:cs="仿宋"/>
                <w:color w:val="000000" w:themeColor="text1"/>
                <w:spacing w:val="9"/>
                <w:sz w:val="24"/>
                <w:szCs w:val="24"/>
                <w14:textFill>
                  <w14:solidFill>
                    <w14:schemeClr w14:val="tx1"/>
                  </w14:solidFill>
                </w14:textFill>
              </w:rPr>
              <w:t>分标准</w:t>
            </w:r>
          </w:p>
        </w:tc>
      </w:tr>
      <w:tr w14:paraId="3E5953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737" w:type="dxa"/>
            <w:tcBorders>
              <w:top w:val="single" w:color="auto" w:sz="2" w:space="0"/>
              <w:left w:val="single" w:color="000000" w:sz="4" w:space="0"/>
              <w:bottom w:val="single" w:color="auto" w:sz="2" w:space="0"/>
              <w:right w:val="single" w:color="000000" w:sz="6" w:space="0"/>
            </w:tcBorders>
            <w:noWrap w:val="0"/>
            <w:vAlign w:val="center"/>
          </w:tcPr>
          <w:p w14:paraId="613C7B38">
            <w:pPr>
              <w:spacing w:line="360" w:lineRule="auto"/>
              <w:ind w:firstLine="240" w:firstLineChars="100"/>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一</w:t>
            </w:r>
          </w:p>
        </w:tc>
        <w:tc>
          <w:tcPr>
            <w:tcW w:w="1258" w:type="dxa"/>
            <w:tcBorders>
              <w:top w:val="single" w:color="auto" w:sz="2" w:space="0"/>
              <w:left w:val="single" w:color="000000" w:sz="6" w:space="0"/>
              <w:bottom w:val="single" w:color="auto" w:sz="2" w:space="0"/>
              <w:right w:val="single" w:color="000000" w:sz="6" w:space="0"/>
            </w:tcBorders>
            <w:noWrap w:val="0"/>
            <w:vAlign w:val="center"/>
          </w:tcPr>
          <w:p w14:paraId="57000976">
            <w:pPr>
              <w:spacing w:line="360" w:lineRule="auto"/>
              <w:jc w:val="center"/>
              <w:rPr>
                <w:rFonts w:hint="eastAsia" w:ascii="仿宋" w:hAnsi="仿宋" w:eastAsia="仿宋" w:cs="仿宋"/>
                <w:color w:val="000000" w:themeColor="text1"/>
                <w:spacing w:val="-2"/>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商务评审</w:t>
            </w:r>
          </w:p>
        </w:tc>
        <w:tc>
          <w:tcPr>
            <w:tcW w:w="831" w:type="dxa"/>
            <w:tcBorders>
              <w:top w:val="single" w:color="auto" w:sz="2" w:space="0"/>
              <w:left w:val="single" w:color="000000" w:sz="6" w:space="0"/>
              <w:bottom w:val="single" w:color="auto" w:sz="2" w:space="0"/>
              <w:right w:val="single" w:color="000000" w:sz="6" w:space="0"/>
            </w:tcBorders>
            <w:noWrap w:val="0"/>
            <w:vAlign w:val="center"/>
          </w:tcPr>
          <w:p w14:paraId="5B247A34">
            <w:pPr>
              <w:spacing w:line="360" w:lineRule="auto"/>
              <w:jc w:val="center"/>
              <w:rPr>
                <w:rFonts w:hint="eastAsia" w:ascii="仿宋" w:hAnsi="仿宋" w:eastAsia="仿宋" w:cs="仿宋"/>
                <w:color w:val="000000" w:themeColor="text1"/>
                <w:spacing w:val="-4"/>
                <w:sz w:val="24"/>
                <w:szCs w:val="24"/>
                <w14:textFill>
                  <w14:solidFill>
                    <w14:schemeClr w14:val="tx1"/>
                  </w14:solidFill>
                </w14:textFill>
              </w:rPr>
            </w:pPr>
            <w:r>
              <w:rPr>
                <w:rFonts w:hint="eastAsia" w:ascii="仿宋" w:hAnsi="仿宋" w:eastAsia="仿宋" w:cs="仿宋"/>
                <w:color w:val="000000" w:themeColor="text1"/>
                <w:spacing w:val="-4"/>
                <w:sz w:val="24"/>
                <w:szCs w:val="24"/>
                <w:lang w:val="en-US" w:eastAsia="zh-CN"/>
                <w14:textFill>
                  <w14:solidFill>
                    <w14:schemeClr w14:val="tx1"/>
                  </w14:solidFill>
                </w14:textFill>
              </w:rPr>
              <w:t>10</w:t>
            </w:r>
            <w:r>
              <w:rPr>
                <w:rFonts w:hint="eastAsia" w:ascii="仿宋" w:hAnsi="仿宋" w:eastAsia="仿宋" w:cs="仿宋"/>
                <w:color w:val="000000" w:themeColor="text1"/>
                <w:spacing w:val="-4"/>
                <w:sz w:val="24"/>
                <w:szCs w:val="24"/>
                <w14:textFill>
                  <w14:solidFill>
                    <w14:schemeClr w14:val="tx1"/>
                  </w14:solidFill>
                </w14:textFill>
              </w:rPr>
              <w:t>分</w:t>
            </w:r>
          </w:p>
        </w:tc>
        <w:tc>
          <w:tcPr>
            <w:tcW w:w="6852" w:type="dxa"/>
            <w:tcBorders>
              <w:top w:val="single" w:color="auto" w:sz="2" w:space="0"/>
              <w:left w:val="single" w:color="000000" w:sz="6" w:space="0"/>
              <w:bottom w:val="single" w:color="auto" w:sz="2" w:space="0"/>
              <w:right w:val="single" w:color="000000" w:sz="6" w:space="0"/>
            </w:tcBorders>
            <w:noWrap w:val="0"/>
            <w:vAlign w:val="top"/>
          </w:tcPr>
          <w:p w14:paraId="4CD6BEB4">
            <w:pPr>
              <w:spacing w:line="360" w:lineRule="auto"/>
              <w:rPr>
                <w:rFonts w:hint="eastAsia" w:ascii="仿宋" w:hAnsi="仿宋" w:eastAsia="仿宋" w:cs="仿宋"/>
                <w:color w:val="000000" w:themeColor="text1"/>
                <w:kern w:val="0"/>
                <w:sz w:val="24"/>
                <w:szCs w:val="24"/>
                <w14:textFill>
                  <w14:solidFill>
                    <w14:schemeClr w14:val="tx1"/>
                  </w14:solidFill>
                </w14:textFill>
              </w:rPr>
            </w:pPr>
          </w:p>
        </w:tc>
      </w:tr>
      <w:tr w14:paraId="207FB3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737" w:type="dxa"/>
            <w:tcBorders>
              <w:top w:val="single" w:color="auto" w:sz="2" w:space="0"/>
              <w:left w:val="single" w:color="000000" w:sz="4" w:space="0"/>
              <w:bottom w:val="single" w:color="auto" w:sz="2" w:space="0"/>
              <w:right w:val="single" w:color="000000" w:sz="6" w:space="0"/>
            </w:tcBorders>
            <w:noWrap w:val="0"/>
            <w:vAlign w:val="center"/>
          </w:tcPr>
          <w:p w14:paraId="6746DFA9">
            <w:pPr>
              <w:spacing w:line="360" w:lineRule="auto"/>
              <w:ind w:firstLine="240"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w:t>
            </w:r>
          </w:p>
        </w:tc>
        <w:tc>
          <w:tcPr>
            <w:tcW w:w="1258" w:type="dxa"/>
            <w:tcBorders>
              <w:top w:val="single" w:color="auto" w:sz="2" w:space="0"/>
              <w:left w:val="single" w:color="000000" w:sz="6" w:space="0"/>
              <w:bottom w:val="single" w:color="auto" w:sz="2" w:space="0"/>
              <w:right w:val="single" w:color="000000" w:sz="6" w:space="0"/>
            </w:tcBorders>
            <w:noWrap w:val="0"/>
            <w:vAlign w:val="center"/>
          </w:tcPr>
          <w:p w14:paraId="11AFF944">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pacing w:val="-2"/>
                <w:sz w:val="24"/>
                <w:szCs w:val="24"/>
                <w:highlight w:val="none"/>
                <w14:textFill>
                  <w14:solidFill>
                    <w14:schemeClr w14:val="tx1"/>
                  </w14:solidFill>
                </w14:textFill>
              </w:rPr>
              <w:t>投标报</w:t>
            </w:r>
            <w:r>
              <w:rPr>
                <w:rFonts w:hint="eastAsia" w:ascii="仿宋" w:hAnsi="仿宋" w:eastAsia="仿宋" w:cs="仿宋"/>
                <w:color w:val="000000" w:themeColor="text1"/>
                <w:spacing w:val="-1"/>
                <w:sz w:val="24"/>
                <w:szCs w:val="24"/>
                <w:highlight w:val="none"/>
                <w14:textFill>
                  <w14:solidFill>
                    <w14:schemeClr w14:val="tx1"/>
                  </w14:solidFill>
                </w14:textFill>
              </w:rPr>
              <w:t>价</w:t>
            </w:r>
          </w:p>
        </w:tc>
        <w:tc>
          <w:tcPr>
            <w:tcW w:w="831" w:type="dxa"/>
            <w:tcBorders>
              <w:top w:val="single" w:color="auto" w:sz="2" w:space="0"/>
              <w:left w:val="single" w:color="000000" w:sz="6" w:space="0"/>
              <w:bottom w:val="single" w:color="auto" w:sz="2" w:space="0"/>
              <w:right w:val="single" w:color="000000" w:sz="6" w:space="0"/>
            </w:tcBorders>
            <w:noWrap w:val="0"/>
            <w:vAlign w:val="center"/>
          </w:tcPr>
          <w:p w14:paraId="17B6D879">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10</w:t>
            </w:r>
            <w:r>
              <w:rPr>
                <w:rFonts w:hint="eastAsia" w:ascii="仿宋" w:hAnsi="仿宋" w:eastAsia="仿宋" w:cs="仿宋"/>
                <w:color w:val="000000" w:themeColor="text1"/>
                <w:spacing w:val="-4"/>
                <w:sz w:val="24"/>
                <w:szCs w:val="24"/>
                <w:highlight w:val="none"/>
                <w14:textFill>
                  <w14:solidFill>
                    <w14:schemeClr w14:val="tx1"/>
                  </w14:solidFill>
                </w14:textFill>
              </w:rPr>
              <w:t>分</w:t>
            </w:r>
          </w:p>
        </w:tc>
        <w:tc>
          <w:tcPr>
            <w:tcW w:w="6852" w:type="dxa"/>
            <w:tcBorders>
              <w:top w:val="single" w:color="auto" w:sz="2" w:space="0"/>
              <w:left w:val="single" w:color="000000" w:sz="6" w:space="0"/>
              <w:bottom w:val="single" w:color="auto" w:sz="2" w:space="0"/>
              <w:right w:val="single" w:color="000000" w:sz="6" w:space="0"/>
            </w:tcBorders>
            <w:noWrap w:val="0"/>
            <w:vAlign w:val="top"/>
          </w:tcPr>
          <w:p w14:paraId="02EA8033">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通过初步评审（形式、资格、响应）的供应商的投标报价为有效报价，有效最低投标报价为评标基准价，其价格为满分</w:t>
            </w:r>
            <w:r>
              <w:rPr>
                <w:rFonts w:hint="eastAsia" w:ascii="仿宋" w:hAnsi="仿宋" w:eastAsia="仿宋" w:cs="仿宋"/>
                <w:color w:val="000000" w:themeColor="text1"/>
                <w:sz w:val="24"/>
                <w:szCs w:val="24"/>
                <w:highlight w:val="none"/>
                <w:lang w:val="en-US" w:eastAsia="zh-CN"/>
                <w14:textFill>
                  <w14:solidFill>
                    <w14:schemeClr w14:val="tx1"/>
                  </w14:solidFill>
                </w14:textFill>
              </w:rPr>
              <w:t>10</w:t>
            </w:r>
            <w:r>
              <w:rPr>
                <w:rFonts w:hint="eastAsia" w:ascii="仿宋" w:hAnsi="仿宋" w:eastAsia="仿宋" w:cs="仿宋"/>
                <w:color w:val="000000" w:themeColor="text1"/>
                <w:sz w:val="24"/>
                <w:szCs w:val="24"/>
                <w:highlight w:val="none"/>
                <w14:textFill>
                  <w14:solidFill>
                    <w14:schemeClr w14:val="tx1"/>
                  </w14:solidFill>
                </w14:textFill>
              </w:rPr>
              <w:t>分，其他供应商的价格分按照下列公式计算：磋商报价得分=（磋商基准价/磋商后的投标报价）×</w:t>
            </w:r>
            <w:r>
              <w:rPr>
                <w:rFonts w:hint="eastAsia" w:ascii="仿宋" w:hAnsi="仿宋" w:eastAsia="仿宋" w:cs="仿宋"/>
                <w:color w:val="000000" w:themeColor="text1"/>
                <w:sz w:val="24"/>
                <w:szCs w:val="24"/>
                <w:highlight w:val="none"/>
                <w:lang w:val="en-US" w:eastAsia="zh-CN"/>
                <w14:textFill>
                  <w14:solidFill>
                    <w14:schemeClr w14:val="tx1"/>
                  </w14:solidFill>
                </w14:textFill>
              </w:rPr>
              <w:t>10</w:t>
            </w:r>
            <w:r>
              <w:rPr>
                <w:rFonts w:hint="eastAsia" w:ascii="仿宋" w:hAnsi="仿宋" w:eastAsia="仿宋" w:cs="仿宋"/>
                <w:color w:val="000000" w:themeColor="text1"/>
                <w:sz w:val="24"/>
                <w:szCs w:val="24"/>
                <w:highlight w:val="none"/>
                <w14:textFill>
                  <w14:solidFill>
                    <w14:schemeClr w14:val="tx1"/>
                  </w14:solidFill>
                </w14:textFill>
              </w:rPr>
              <w:t>%×100（小数点后保留两位，第三位四舍五入）。</w:t>
            </w:r>
          </w:p>
        </w:tc>
      </w:tr>
      <w:tr w14:paraId="2084EA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737" w:type="dxa"/>
            <w:tcBorders>
              <w:top w:val="single" w:color="auto" w:sz="2" w:space="0"/>
              <w:left w:val="single" w:color="000000" w:sz="4" w:space="0"/>
              <w:bottom w:val="single" w:color="auto" w:sz="2" w:space="0"/>
              <w:right w:val="single" w:color="000000" w:sz="6" w:space="0"/>
            </w:tcBorders>
            <w:noWrap w:val="0"/>
            <w:vAlign w:val="top"/>
          </w:tcPr>
          <w:p w14:paraId="63FB5528">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二</w:t>
            </w:r>
          </w:p>
        </w:tc>
        <w:tc>
          <w:tcPr>
            <w:tcW w:w="1258" w:type="dxa"/>
            <w:tcBorders>
              <w:top w:val="single" w:color="auto" w:sz="2" w:space="0"/>
              <w:left w:val="single" w:color="000000" w:sz="6" w:space="0"/>
              <w:bottom w:val="single" w:color="auto" w:sz="2" w:space="0"/>
              <w:right w:val="single" w:color="000000" w:sz="6" w:space="0"/>
            </w:tcBorders>
            <w:noWrap w:val="0"/>
            <w:vAlign w:val="top"/>
          </w:tcPr>
          <w:p w14:paraId="7A9ED89F">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技术</w:t>
            </w:r>
            <w:r>
              <w:rPr>
                <w:rFonts w:hint="eastAsia" w:ascii="仿宋" w:hAnsi="仿宋" w:eastAsia="仿宋" w:cs="仿宋"/>
                <w:color w:val="000000" w:themeColor="text1"/>
                <w:spacing w:val="-1"/>
                <w:sz w:val="24"/>
                <w:szCs w:val="24"/>
                <w14:textFill>
                  <w14:solidFill>
                    <w14:schemeClr w14:val="tx1"/>
                  </w14:solidFill>
                </w14:textFill>
              </w:rPr>
              <w:t>评审</w:t>
            </w:r>
          </w:p>
        </w:tc>
        <w:tc>
          <w:tcPr>
            <w:tcW w:w="831" w:type="dxa"/>
            <w:tcBorders>
              <w:top w:val="single" w:color="auto" w:sz="2" w:space="0"/>
              <w:left w:val="single" w:color="000000" w:sz="6" w:space="0"/>
              <w:bottom w:val="single" w:color="auto" w:sz="2" w:space="0"/>
              <w:right w:val="single" w:color="000000" w:sz="6" w:space="0"/>
            </w:tcBorders>
            <w:noWrap w:val="0"/>
            <w:vAlign w:val="center"/>
          </w:tcPr>
          <w:p w14:paraId="60D27D91">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lang w:val="en-US" w:eastAsia="zh-CN"/>
                <w14:textFill>
                  <w14:solidFill>
                    <w14:schemeClr w14:val="tx1"/>
                  </w14:solidFill>
                </w14:textFill>
              </w:rPr>
              <w:t>90</w:t>
            </w:r>
            <w:r>
              <w:rPr>
                <w:rFonts w:hint="eastAsia" w:ascii="仿宋" w:hAnsi="仿宋" w:eastAsia="仿宋" w:cs="仿宋"/>
                <w:color w:val="000000" w:themeColor="text1"/>
                <w:spacing w:val="-4"/>
                <w:sz w:val="24"/>
                <w:szCs w:val="24"/>
                <w14:textFill>
                  <w14:solidFill>
                    <w14:schemeClr w14:val="tx1"/>
                  </w14:solidFill>
                </w14:textFill>
              </w:rPr>
              <w:t>分</w:t>
            </w:r>
          </w:p>
        </w:tc>
        <w:tc>
          <w:tcPr>
            <w:tcW w:w="6852" w:type="dxa"/>
            <w:tcBorders>
              <w:top w:val="single" w:color="auto" w:sz="2" w:space="0"/>
              <w:left w:val="single" w:color="000000" w:sz="6" w:space="0"/>
              <w:bottom w:val="single" w:color="auto" w:sz="2" w:space="0"/>
              <w:right w:val="single" w:color="000000" w:sz="6" w:space="0"/>
            </w:tcBorders>
            <w:noWrap w:val="0"/>
            <w:vAlign w:val="top"/>
          </w:tcPr>
          <w:p w14:paraId="069A9883">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r>
      <w:tr w14:paraId="5184F4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737" w:type="dxa"/>
            <w:tcBorders>
              <w:top w:val="single" w:color="auto" w:sz="2" w:space="0"/>
              <w:left w:val="single" w:color="000000" w:sz="4" w:space="0"/>
              <w:right w:val="single" w:color="000000" w:sz="6" w:space="0"/>
            </w:tcBorders>
            <w:noWrap w:val="0"/>
            <w:vAlign w:val="center"/>
          </w:tcPr>
          <w:p w14:paraId="49B34D39">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p>
        </w:tc>
        <w:tc>
          <w:tcPr>
            <w:tcW w:w="1258" w:type="dxa"/>
            <w:tcBorders>
              <w:top w:val="single" w:color="auto" w:sz="2" w:space="0"/>
              <w:left w:val="single" w:color="000000" w:sz="6" w:space="0"/>
              <w:right w:val="single" w:color="000000" w:sz="6" w:space="0"/>
            </w:tcBorders>
            <w:noWrap w:val="0"/>
            <w:vAlign w:val="center"/>
          </w:tcPr>
          <w:p w14:paraId="09C1E19C">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类似业绩</w:t>
            </w:r>
          </w:p>
        </w:tc>
        <w:tc>
          <w:tcPr>
            <w:tcW w:w="831" w:type="dxa"/>
            <w:tcBorders>
              <w:top w:val="single" w:color="auto" w:sz="2" w:space="0"/>
              <w:left w:val="single" w:color="000000" w:sz="6" w:space="0"/>
              <w:right w:val="single" w:color="000000" w:sz="6" w:space="0"/>
            </w:tcBorders>
            <w:noWrap w:val="0"/>
            <w:vAlign w:val="center"/>
          </w:tcPr>
          <w:p w14:paraId="07A7DCBA">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10</w:t>
            </w:r>
            <w:r>
              <w:rPr>
                <w:rFonts w:hint="eastAsia" w:ascii="仿宋" w:hAnsi="仿宋" w:eastAsia="仿宋" w:cs="仿宋"/>
                <w:color w:val="000000" w:themeColor="text1"/>
                <w:spacing w:val="-4"/>
                <w:sz w:val="24"/>
                <w:szCs w:val="24"/>
                <w:highlight w:val="none"/>
                <w14:textFill>
                  <w14:solidFill>
                    <w14:schemeClr w14:val="tx1"/>
                  </w14:solidFill>
                </w14:textFill>
              </w:rPr>
              <w:t>分</w:t>
            </w:r>
          </w:p>
        </w:tc>
        <w:tc>
          <w:tcPr>
            <w:tcW w:w="6852" w:type="dxa"/>
            <w:tcBorders>
              <w:top w:val="single" w:color="auto" w:sz="2" w:space="0"/>
              <w:left w:val="single" w:color="000000" w:sz="6" w:space="0"/>
              <w:bottom w:val="single" w:color="auto" w:sz="2" w:space="0"/>
              <w:right w:val="single" w:color="000000" w:sz="6" w:space="0"/>
            </w:tcBorders>
            <w:noWrap w:val="0"/>
            <w:vAlign w:val="top"/>
          </w:tcPr>
          <w:p w14:paraId="27F3C4F0">
            <w:pPr>
              <w:spacing w:line="360" w:lineRule="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2023年1月1日以来供应商承担过可行性研究或初步设计（工程设计）或项目申报咨询等类似服务业绩的，每提供1个业绩得5分，满分10分。</w:t>
            </w:r>
          </w:p>
          <w:p w14:paraId="6F8471B6">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注：须提供合同或中标（成交）通知书扫描件；业绩时间以合同签订时间或中标（成交）通知书载明时间为准。同一合同同时包含多项服务内容的，仅按1个业绩计分。相关证明材料不能体现项目类型或服务内容的，应另附能够证明的材料。</w:t>
            </w:r>
          </w:p>
        </w:tc>
      </w:tr>
      <w:tr w14:paraId="216E2B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737" w:type="dxa"/>
            <w:tcBorders>
              <w:top w:val="single" w:color="auto" w:sz="2" w:space="0"/>
              <w:left w:val="single" w:color="000000" w:sz="4" w:space="0"/>
              <w:right w:val="single" w:color="000000" w:sz="6" w:space="0"/>
            </w:tcBorders>
            <w:noWrap w:val="0"/>
            <w:vAlign w:val="center"/>
          </w:tcPr>
          <w:p w14:paraId="590CB106">
            <w:pPr>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p>
        </w:tc>
        <w:tc>
          <w:tcPr>
            <w:tcW w:w="1258" w:type="dxa"/>
            <w:tcBorders>
              <w:top w:val="single" w:color="auto" w:sz="2" w:space="0"/>
              <w:left w:val="single" w:color="000000" w:sz="6" w:space="0"/>
              <w:right w:val="single" w:color="000000" w:sz="6" w:space="0"/>
            </w:tcBorders>
            <w:noWrap w:val="0"/>
            <w:vAlign w:val="center"/>
          </w:tcPr>
          <w:p w14:paraId="702AA539">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人员配备</w:t>
            </w:r>
          </w:p>
        </w:tc>
        <w:tc>
          <w:tcPr>
            <w:tcW w:w="831" w:type="dxa"/>
            <w:tcBorders>
              <w:top w:val="single" w:color="auto" w:sz="2" w:space="0"/>
              <w:left w:val="single" w:color="000000" w:sz="6" w:space="0"/>
              <w:right w:val="single" w:color="000000" w:sz="6" w:space="0"/>
            </w:tcBorders>
            <w:noWrap w:val="0"/>
            <w:vAlign w:val="center"/>
          </w:tcPr>
          <w:p w14:paraId="535464B7">
            <w:pPr>
              <w:pStyle w:val="6"/>
              <w:spacing w:line="360" w:lineRule="auto"/>
              <w:ind w:firstLine="0"/>
              <w:jc w:val="center"/>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lang w:val="en-US" w:eastAsia="zh-CN"/>
                <w14:textFill>
                  <w14:solidFill>
                    <w14:schemeClr w14:val="tx1"/>
                  </w14:solidFill>
                </w14:textFill>
              </w:rPr>
              <w:t>30</w:t>
            </w:r>
            <w:r>
              <w:rPr>
                <w:rFonts w:hint="eastAsia" w:ascii="仿宋" w:hAnsi="仿宋" w:eastAsia="仿宋" w:cs="仿宋"/>
                <w:color w:val="000000" w:themeColor="text1"/>
                <w:spacing w:val="-4"/>
                <w:sz w:val="24"/>
                <w:szCs w:val="24"/>
                <w14:textFill>
                  <w14:solidFill>
                    <w14:schemeClr w14:val="tx1"/>
                  </w14:solidFill>
                </w14:textFill>
              </w:rPr>
              <w:t>分</w:t>
            </w:r>
          </w:p>
        </w:tc>
        <w:tc>
          <w:tcPr>
            <w:tcW w:w="6852" w:type="dxa"/>
            <w:tcBorders>
              <w:top w:val="single" w:color="auto" w:sz="2" w:space="0"/>
              <w:left w:val="single" w:color="000000" w:sz="6" w:space="0"/>
              <w:bottom w:val="single" w:color="auto" w:sz="2" w:space="0"/>
              <w:right w:val="single" w:color="000000" w:sz="6" w:space="0"/>
            </w:tcBorders>
            <w:noWrap w:val="0"/>
            <w:vAlign w:val="top"/>
          </w:tcPr>
          <w:p w14:paraId="63C93099">
            <w:pPr>
              <w:pStyle w:val="6"/>
              <w:spacing w:line="360" w:lineRule="auto"/>
              <w:ind w:firstLine="0"/>
              <w:rPr>
                <w:rFonts w:hint="eastAsia" w:ascii="仿宋" w:hAnsi="仿宋" w:eastAsia="仿宋" w:cs="仿宋"/>
                <w:bCs/>
                <w:color w:val="000000" w:themeColor="text1"/>
                <w:kern w:val="2"/>
                <w:sz w:val="24"/>
                <w:szCs w:val="24"/>
                <w:lang w:val="en-US" w:eastAsia="zh-CN"/>
                <w14:textFill>
                  <w14:solidFill>
                    <w14:schemeClr w14:val="tx1"/>
                  </w14:solidFill>
                </w14:textFill>
              </w:rPr>
            </w:pPr>
            <w:r>
              <w:rPr>
                <w:rFonts w:hint="eastAsia" w:ascii="仿宋" w:hAnsi="仿宋" w:eastAsia="仿宋" w:cs="仿宋"/>
                <w:bCs/>
                <w:color w:val="000000" w:themeColor="text1"/>
                <w:kern w:val="2"/>
                <w:sz w:val="24"/>
                <w:szCs w:val="24"/>
                <w:lang w:val="en-US" w:eastAsia="zh-CN"/>
                <w14:textFill>
                  <w14:solidFill>
                    <w14:schemeClr w14:val="tx1"/>
                  </w14:solidFill>
                </w14:textFill>
              </w:rPr>
              <w:t>1、项目负责人（10分）：具有工程类高级及以上技术职称的得5分；同时具有一级注册建筑师或咨询工程师（投资）登记证书的得5分。本项满分10分。</w:t>
            </w:r>
          </w:p>
          <w:p w14:paraId="7A159F55">
            <w:pPr>
              <w:pStyle w:val="6"/>
              <w:spacing w:line="360" w:lineRule="auto"/>
              <w:ind w:firstLine="0"/>
              <w:rPr>
                <w:rFonts w:hint="eastAsia" w:ascii="仿宋" w:hAnsi="仿宋" w:eastAsia="仿宋" w:cs="仿宋"/>
                <w:bCs/>
                <w:color w:val="000000" w:themeColor="text1"/>
                <w:kern w:val="2"/>
                <w:sz w:val="24"/>
                <w:szCs w:val="24"/>
                <w:lang w:val="en-US" w:eastAsia="zh-CN"/>
                <w14:textFill>
                  <w14:solidFill>
                    <w14:schemeClr w14:val="tx1"/>
                  </w14:solidFill>
                </w14:textFill>
              </w:rPr>
            </w:pPr>
            <w:r>
              <w:rPr>
                <w:rFonts w:hint="eastAsia" w:ascii="仿宋" w:hAnsi="仿宋" w:eastAsia="仿宋" w:cs="仿宋"/>
                <w:bCs/>
                <w:color w:val="000000" w:themeColor="text1"/>
                <w:kern w:val="2"/>
                <w:sz w:val="24"/>
                <w:szCs w:val="24"/>
                <w:lang w:val="en-US" w:eastAsia="zh-CN"/>
                <w14:textFill>
                  <w14:solidFill>
                    <w14:schemeClr w14:val="tx1"/>
                  </w14:solidFill>
                </w14:textFill>
              </w:rPr>
              <w:t>2、可研咨询负责人（10分）：具有咨询工程师（投资）登记证书的得5分；同时具有工程类或经济类中级及以上职称的加5分。本项满分10分。</w:t>
            </w:r>
          </w:p>
          <w:p w14:paraId="3B1180D5">
            <w:pPr>
              <w:pStyle w:val="6"/>
              <w:spacing w:line="360" w:lineRule="auto"/>
              <w:ind w:firstLine="0"/>
              <w:rPr>
                <w:rFonts w:hint="eastAsia" w:ascii="仿宋" w:hAnsi="仿宋" w:eastAsia="仿宋" w:cs="仿宋"/>
                <w:bCs/>
                <w:color w:val="000000" w:themeColor="text1"/>
                <w:kern w:val="2"/>
                <w:sz w:val="24"/>
                <w:szCs w:val="24"/>
                <w:lang w:val="en-US" w:eastAsia="zh-CN"/>
                <w14:textFill>
                  <w14:solidFill>
                    <w14:schemeClr w14:val="tx1"/>
                  </w14:solidFill>
                </w14:textFill>
              </w:rPr>
            </w:pPr>
            <w:r>
              <w:rPr>
                <w:rFonts w:hint="eastAsia" w:ascii="仿宋" w:hAnsi="仿宋" w:eastAsia="仿宋" w:cs="仿宋"/>
                <w:bCs/>
                <w:color w:val="000000" w:themeColor="text1"/>
                <w:kern w:val="2"/>
                <w:sz w:val="24"/>
                <w:szCs w:val="24"/>
                <w:lang w:val="en-US" w:eastAsia="zh-CN"/>
                <w14:textFill>
                  <w14:solidFill>
                    <w14:schemeClr w14:val="tx1"/>
                  </w14:solidFill>
                </w14:textFill>
              </w:rPr>
              <w:t>3、设计专业人员（10分）：除项目负责人外，拟配备建筑、结构、给排水、电气、暖通、造价专业等人员，每个专业配备1名中级及以上职称人员的得2分，本项满分10分。</w:t>
            </w:r>
          </w:p>
          <w:p w14:paraId="0BD69FD3">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lang w:val="en-US" w:eastAsia="zh-CN"/>
                <w14:textFill>
                  <w14:solidFill>
                    <w14:schemeClr w14:val="tx1"/>
                  </w14:solidFill>
                </w14:textFill>
              </w:rPr>
              <w:t>注：同一人员原则上仅按一个岗位计分。响应文件中提供相应注册（登记）证书、职称证书等证明材料扫描件。</w:t>
            </w:r>
          </w:p>
        </w:tc>
      </w:tr>
      <w:tr w14:paraId="5348BC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737" w:type="dxa"/>
            <w:tcBorders>
              <w:top w:val="single" w:color="auto" w:sz="2" w:space="0"/>
              <w:left w:val="single" w:color="000000" w:sz="4" w:space="0"/>
              <w:right w:val="single" w:color="000000" w:sz="6" w:space="0"/>
            </w:tcBorders>
            <w:noWrap w:val="0"/>
            <w:vAlign w:val="center"/>
          </w:tcPr>
          <w:p w14:paraId="16BAEBF6">
            <w:pPr>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w:t>
            </w:r>
          </w:p>
        </w:tc>
        <w:tc>
          <w:tcPr>
            <w:tcW w:w="1258" w:type="dxa"/>
            <w:tcBorders>
              <w:top w:val="single" w:color="auto" w:sz="2" w:space="0"/>
              <w:left w:val="single" w:color="000000" w:sz="6" w:space="0"/>
              <w:right w:val="single" w:color="000000" w:sz="6" w:space="0"/>
            </w:tcBorders>
            <w:noWrap w:val="0"/>
            <w:vAlign w:val="center"/>
          </w:tcPr>
          <w:p w14:paraId="66859893">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项目理解及总体服务思路</w:t>
            </w:r>
          </w:p>
          <w:p w14:paraId="6E84BCF1">
            <w:pPr>
              <w:spacing w:line="360" w:lineRule="auto"/>
              <w:jc w:val="center"/>
              <w:rPr>
                <w:rFonts w:hint="eastAsia" w:ascii="仿宋" w:hAnsi="仿宋" w:eastAsia="仿宋" w:cs="仿宋"/>
                <w:bCs/>
                <w:color w:val="000000" w:themeColor="text1"/>
                <w:sz w:val="24"/>
                <w:szCs w:val="24"/>
                <w14:textFill>
                  <w14:solidFill>
                    <w14:schemeClr w14:val="tx1"/>
                  </w14:solidFill>
                </w14:textFill>
              </w:rPr>
            </w:pPr>
          </w:p>
        </w:tc>
        <w:tc>
          <w:tcPr>
            <w:tcW w:w="831" w:type="dxa"/>
            <w:tcBorders>
              <w:top w:val="single" w:color="auto" w:sz="2" w:space="0"/>
              <w:left w:val="single" w:color="000000" w:sz="6" w:space="0"/>
              <w:right w:val="single" w:color="000000" w:sz="6" w:space="0"/>
            </w:tcBorders>
            <w:noWrap w:val="0"/>
            <w:vAlign w:val="center"/>
          </w:tcPr>
          <w:p w14:paraId="72A5C3B3">
            <w:pPr>
              <w:pStyle w:val="6"/>
              <w:spacing w:line="360" w:lineRule="auto"/>
              <w:ind w:firstLine="0"/>
              <w:jc w:val="center"/>
              <w:rPr>
                <w:rFonts w:hint="eastAsia" w:ascii="仿宋" w:hAnsi="仿宋" w:eastAsia="仿宋" w:cs="仿宋"/>
                <w:bCs/>
                <w:color w:val="000000" w:themeColor="text1"/>
                <w:kern w:val="2"/>
                <w:sz w:val="24"/>
                <w:szCs w:val="24"/>
                <w:lang w:eastAsia="zh-CN"/>
                <w14:textFill>
                  <w14:solidFill>
                    <w14:schemeClr w14:val="tx1"/>
                  </w14:solidFill>
                </w14:textFill>
              </w:rPr>
            </w:pPr>
            <w:r>
              <w:rPr>
                <w:rFonts w:hint="eastAsia" w:ascii="仿宋" w:hAnsi="仿宋" w:eastAsia="仿宋" w:cs="仿宋"/>
                <w:bCs/>
                <w:color w:val="000000" w:themeColor="text1"/>
                <w:kern w:val="2"/>
                <w:sz w:val="24"/>
                <w:szCs w:val="24"/>
                <w:lang w:val="en-US" w:eastAsia="zh-CN"/>
                <w14:textFill>
                  <w14:solidFill>
                    <w14:schemeClr w14:val="tx1"/>
                  </w14:solidFill>
                </w14:textFill>
              </w:rPr>
              <w:t>10</w:t>
            </w:r>
            <w:r>
              <w:rPr>
                <w:rFonts w:hint="eastAsia" w:ascii="仿宋" w:hAnsi="仿宋" w:eastAsia="仿宋" w:cs="仿宋"/>
                <w:bCs/>
                <w:color w:val="000000" w:themeColor="text1"/>
                <w:kern w:val="2"/>
                <w:sz w:val="24"/>
                <w:szCs w:val="24"/>
                <w14:textFill>
                  <w14:solidFill>
                    <w14:schemeClr w14:val="tx1"/>
                  </w14:solidFill>
                </w14:textFill>
              </w:rPr>
              <w:t>分</w:t>
            </w:r>
          </w:p>
        </w:tc>
        <w:tc>
          <w:tcPr>
            <w:tcW w:w="6852" w:type="dxa"/>
            <w:tcBorders>
              <w:top w:val="single" w:color="auto" w:sz="2" w:space="0"/>
              <w:left w:val="single" w:color="000000" w:sz="6" w:space="0"/>
              <w:bottom w:val="single" w:color="auto" w:sz="2" w:space="0"/>
              <w:right w:val="single" w:color="000000" w:sz="6" w:space="0"/>
            </w:tcBorders>
            <w:noWrap w:val="0"/>
            <w:vAlign w:val="top"/>
          </w:tcPr>
          <w:p w14:paraId="6F1790E1">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1、根据供应商对本项目采购目标、三个子项目服务内容及相互关系的理解情况进行评分。方案应包括项目总体认识、服务目标、工作思路、总体实施路径以及各子项目工作衔接安排等。</w:t>
            </w:r>
          </w:p>
          <w:p w14:paraId="2CA19544">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（1）对项目理解准确全面，能够结合三个子项目特点分别提出针对性工作思路，目标明确、路径清晰、措施具体可行，得</w:t>
            </w:r>
            <w:r>
              <w:rPr>
                <w:rFonts w:hint="eastAsia" w:ascii="仿宋" w:hAnsi="仿宋" w:eastAsia="仿宋" w:cs="仿宋"/>
                <w:bCs/>
                <w:color w:val="000000" w:themeColor="text1"/>
                <w:kern w:val="2"/>
                <w:sz w:val="24"/>
                <w:szCs w:val="24"/>
                <w:lang w:val="en-US" w:eastAsia="zh-CN"/>
                <w14:textFill>
                  <w14:solidFill>
                    <w14:schemeClr w14:val="tx1"/>
                  </w14:solidFill>
                </w14:textFill>
              </w:rPr>
              <w:t>10</w:t>
            </w:r>
            <w:r>
              <w:rPr>
                <w:rFonts w:hint="eastAsia" w:ascii="仿宋" w:hAnsi="仿宋" w:eastAsia="仿宋" w:cs="仿宋"/>
                <w:bCs/>
                <w:color w:val="000000" w:themeColor="text1"/>
                <w:kern w:val="2"/>
                <w:sz w:val="24"/>
                <w:szCs w:val="24"/>
                <w14:textFill>
                  <w14:solidFill>
                    <w14:schemeClr w14:val="tx1"/>
                  </w14:solidFill>
                </w14:textFill>
              </w:rPr>
              <w:t>分；</w:t>
            </w:r>
          </w:p>
          <w:p w14:paraId="61AB3C1E">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（2）对项目理解较准确，工作思路和实施路径较清晰，内容较完整，具有一定针对性和可实施性，得</w:t>
            </w:r>
            <w:r>
              <w:rPr>
                <w:rFonts w:hint="eastAsia" w:ascii="仿宋" w:hAnsi="仿宋" w:eastAsia="仿宋" w:cs="仿宋"/>
                <w:bCs/>
                <w:color w:val="000000" w:themeColor="text1"/>
                <w:kern w:val="2"/>
                <w:sz w:val="24"/>
                <w:szCs w:val="24"/>
                <w:lang w:val="en-US" w:eastAsia="zh-CN"/>
                <w14:textFill>
                  <w14:solidFill>
                    <w14:schemeClr w14:val="tx1"/>
                  </w14:solidFill>
                </w14:textFill>
              </w:rPr>
              <w:t>7分</w:t>
            </w:r>
            <w:r>
              <w:rPr>
                <w:rFonts w:hint="eastAsia" w:ascii="仿宋" w:hAnsi="仿宋" w:eastAsia="仿宋" w:cs="仿宋"/>
                <w:bCs/>
                <w:color w:val="000000" w:themeColor="text1"/>
                <w:kern w:val="2"/>
                <w:sz w:val="24"/>
                <w:szCs w:val="24"/>
                <w14:textFill>
                  <w14:solidFill>
                    <w14:schemeClr w14:val="tx1"/>
                  </w14:solidFill>
                </w14:textFill>
              </w:rPr>
              <w:t>；</w:t>
            </w:r>
          </w:p>
          <w:p w14:paraId="3570D129">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（3）对项目有基本理解，但内容较简单，针对性、完整性或可实施性一般，得</w:t>
            </w:r>
            <w:r>
              <w:rPr>
                <w:rFonts w:hint="eastAsia" w:ascii="仿宋" w:hAnsi="仿宋" w:eastAsia="仿宋" w:cs="仿宋"/>
                <w:bCs/>
                <w:color w:val="000000" w:themeColor="text1"/>
                <w:kern w:val="2"/>
                <w:sz w:val="24"/>
                <w:szCs w:val="24"/>
                <w:lang w:val="en-US" w:eastAsia="zh-CN"/>
                <w14:textFill>
                  <w14:solidFill>
                    <w14:schemeClr w14:val="tx1"/>
                  </w14:solidFill>
                </w14:textFill>
              </w:rPr>
              <w:t>4分</w:t>
            </w:r>
            <w:r>
              <w:rPr>
                <w:rFonts w:hint="eastAsia" w:ascii="仿宋" w:hAnsi="仿宋" w:eastAsia="仿宋" w:cs="仿宋"/>
                <w:bCs/>
                <w:color w:val="000000" w:themeColor="text1"/>
                <w:kern w:val="2"/>
                <w:sz w:val="24"/>
                <w:szCs w:val="24"/>
                <w14:textFill>
                  <w14:solidFill>
                    <w14:schemeClr w14:val="tx1"/>
                  </w14:solidFill>
                </w14:textFill>
              </w:rPr>
              <w:t>；</w:t>
            </w:r>
          </w:p>
          <w:p w14:paraId="7EA8A9C0">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（4）未提供或内容与本项目无关的，得</w:t>
            </w:r>
            <w:r>
              <w:rPr>
                <w:rFonts w:hint="eastAsia" w:ascii="仿宋" w:hAnsi="仿宋" w:eastAsia="仿宋" w:cs="仿宋"/>
                <w:bCs/>
                <w:color w:val="000000" w:themeColor="text1"/>
                <w:kern w:val="2"/>
                <w:sz w:val="24"/>
                <w:szCs w:val="24"/>
                <w:lang w:val="en-US" w:eastAsia="zh-CN"/>
                <w14:textFill>
                  <w14:solidFill>
                    <w14:schemeClr w14:val="tx1"/>
                  </w14:solidFill>
                </w14:textFill>
              </w:rPr>
              <w:t>0</w:t>
            </w:r>
            <w:r>
              <w:rPr>
                <w:rFonts w:hint="eastAsia" w:ascii="仿宋" w:hAnsi="仿宋" w:eastAsia="仿宋" w:cs="仿宋"/>
                <w:bCs/>
                <w:color w:val="000000" w:themeColor="text1"/>
                <w:kern w:val="2"/>
                <w:sz w:val="24"/>
                <w:szCs w:val="24"/>
                <w14:textFill>
                  <w14:solidFill>
                    <w14:schemeClr w14:val="tx1"/>
                  </w14:solidFill>
                </w14:textFill>
              </w:rPr>
              <w:t>分。</w:t>
            </w:r>
          </w:p>
        </w:tc>
      </w:tr>
      <w:tr w14:paraId="1001CE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737" w:type="dxa"/>
            <w:tcBorders>
              <w:top w:val="single" w:color="auto" w:sz="2" w:space="0"/>
              <w:left w:val="single" w:color="000000" w:sz="4" w:space="0"/>
              <w:right w:val="single" w:color="000000" w:sz="6" w:space="0"/>
            </w:tcBorders>
            <w:noWrap w:val="0"/>
            <w:vAlign w:val="center"/>
          </w:tcPr>
          <w:p w14:paraId="7F921C25">
            <w:pPr>
              <w:spacing w:line="360" w:lineRule="auto"/>
              <w:jc w:val="center"/>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w:t>
            </w:r>
          </w:p>
        </w:tc>
        <w:tc>
          <w:tcPr>
            <w:tcW w:w="1258" w:type="dxa"/>
            <w:tcBorders>
              <w:top w:val="single" w:color="auto" w:sz="2" w:space="0"/>
              <w:left w:val="single" w:color="000000" w:sz="6" w:space="0"/>
              <w:right w:val="single" w:color="000000" w:sz="6" w:space="0"/>
            </w:tcBorders>
            <w:noWrap w:val="0"/>
            <w:vAlign w:val="center"/>
          </w:tcPr>
          <w:p w14:paraId="4A6D4FA4">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基础资料收集、现状调查及建设需求分析方案</w:t>
            </w:r>
          </w:p>
        </w:tc>
        <w:tc>
          <w:tcPr>
            <w:tcW w:w="831" w:type="dxa"/>
            <w:tcBorders>
              <w:top w:val="single" w:color="auto" w:sz="2" w:space="0"/>
              <w:left w:val="single" w:color="000000" w:sz="6" w:space="0"/>
              <w:right w:val="single" w:color="000000" w:sz="6" w:space="0"/>
            </w:tcBorders>
            <w:noWrap w:val="0"/>
            <w:vAlign w:val="center"/>
          </w:tcPr>
          <w:p w14:paraId="523C052B">
            <w:pPr>
              <w:pStyle w:val="6"/>
              <w:spacing w:line="360" w:lineRule="auto"/>
              <w:ind w:firstLine="0"/>
              <w:jc w:val="center"/>
              <w:rPr>
                <w:rFonts w:hint="eastAsia" w:ascii="仿宋" w:hAnsi="仿宋" w:eastAsia="仿宋" w:cs="仿宋"/>
                <w:bCs/>
                <w:color w:val="000000" w:themeColor="text1"/>
                <w:kern w:val="2"/>
                <w:sz w:val="24"/>
                <w:szCs w:val="24"/>
                <w:lang w:eastAsia="zh-CN"/>
                <w14:textFill>
                  <w14:solidFill>
                    <w14:schemeClr w14:val="tx1"/>
                  </w14:solidFill>
                </w14:textFill>
              </w:rPr>
            </w:pPr>
            <w:r>
              <w:rPr>
                <w:rFonts w:hint="eastAsia" w:ascii="仿宋" w:hAnsi="仿宋" w:eastAsia="仿宋" w:cs="仿宋"/>
                <w:bCs/>
                <w:color w:val="000000" w:themeColor="text1"/>
                <w:kern w:val="2"/>
                <w:sz w:val="24"/>
                <w:szCs w:val="24"/>
                <w:lang w:val="en-US" w:eastAsia="zh-CN"/>
                <w14:textFill>
                  <w14:solidFill>
                    <w14:schemeClr w14:val="tx1"/>
                  </w14:solidFill>
                </w14:textFill>
              </w:rPr>
              <w:t>10</w:t>
            </w:r>
            <w:r>
              <w:rPr>
                <w:rFonts w:hint="eastAsia" w:ascii="仿宋" w:hAnsi="仿宋" w:eastAsia="仿宋" w:cs="仿宋"/>
                <w:bCs/>
                <w:color w:val="000000" w:themeColor="text1"/>
                <w:kern w:val="2"/>
                <w:sz w:val="24"/>
                <w:szCs w:val="24"/>
                <w14:textFill>
                  <w14:solidFill>
                    <w14:schemeClr w14:val="tx1"/>
                  </w14:solidFill>
                </w14:textFill>
              </w:rPr>
              <w:t>分</w:t>
            </w:r>
          </w:p>
        </w:tc>
        <w:tc>
          <w:tcPr>
            <w:tcW w:w="6852" w:type="dxa"/>
            <w:tcBorders>
              <w:top w:val="single" w:color="auto" w:sz="2" w:space="0"/>
              <w:left w:val="single" w:color="000000" w:sz="6" w:space="0"/>
              <w:bottom w:val="single" w:color="auto" w:sz="2" w:space="0"/>
              <w:right w:val="single" w:color="000000" w:sz="6" w:space="0"/>
            </w:tcBorders>
            <w:noWrap w:val="0"/>
            <w:vAlign w:val="top"/>
          </w:tcPr>
          <w:p w14:paraId="32D73F8A">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根据供应商针对项目开展资料收集、现场踏勘、现有实验室及检验检测设备情况调查、检测能力梳理、存在问题及能力短板分析、建设需求确定等工作的方案进行评分。</w:t>
            </w:r>
          </w:p>
          <w:p w14:paraId="3297E86F">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（1）调查内容全面，工作方法科学，能够针对不同子项目提出具体调查内容和需求分析方法，针对性和可操作性强，得</w:t>
            </w:r>
            <w:r>
              <w:rPr>
                <w:rFonts w:hint="eastAsia" w:ascii="仿宋" w:hAnsi="仿宋" w:eastAsia="仿宋" w:cs="仿宋"/>
                <w:bCs/>
                <w:color w:val="000000" w:themeColor="text1"/>
                <w:kern w:val="2"/>
                <w:sz w:val="24"/>
                <w:szCs w:val="24"/>
                <w:lang w:val="en-US" w:eastAsia="zh-CN"/>
                <w14:textFill>
                  <w14:solidFill>
                    <w14:schemeClr w14:val="tx1"/>
                  </w14:solidFill>
                </w14:textFill>
              </w:rPr>
              <w:t>10</w:t>
            </w:r>
            <w:r>
              <w:rPr>
                <w:rFonts w:hint="eastAsia" w:ascii="仿宋" w:hAnsi="仿宋" w:eastAsia="仿宋" w:cs="仿宋"/>
                <w:bCs/>
                <w:color w:val="000000" w:themeColor="text1"/>
                <w:kern w:val="2"/>
                <w:sz w:val="24"/>
                <w:szCs w:val="24"/>
                <w14:textFill>
                  <w14:solidFill>
                    <w14:schemeClr w14:val="tx1"/>
                  </w14:solidFill>
                </w14:textFill>
              </w:rPr>
              <w:t>分；</w:t>
            </w:r>
          </w:p>
          <w:p w14:paraId="485FFAAE">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（2）调查内容较完整，方法基本合理，能够满足项目需求分析需要，得</w:t>
            </w:r>
            <w:r>
              <w:rPr>
                <w:rFonts w:hint="eastAsia" w:ascii="仿宋" w:hAnsi="仿宋" w:eastAsia="仿宋" w:cs="仿宋"/>
                <w:bCs/>
                <w:color w:val="000000" w:themeColor="text1"/>
                <w:kern w:val="2"/>
                <w:sz w:val="24"/>
                <w:szCs w:val="24"/>
                <w:lang w:val="en-US" w:eastAsia="zh-CN"/>
                <w14:textFill>
                  <w14:solidFill>
                    <w14:schemeClr w14:val="tx1"/>
                  </w14:solidFill>
                </w14:textFill>
              </w:rPr>
              <w:t>7分</w:t>
            </w:r>
            <w:r>
              <w:rPr>
                <w:rFonts w:hint="eastAsia" w:ascii="仿宋" w:hAnsi="仿宋" w:eastAsia="仿宋" w:cs="仿宋"/>
                <w:bCs/>
                <w:color w:val="000000" w:themeColor="text1"/>
                <w:kern w:val="2"/>
                <w:sz w:val="24"/>
                <w:szCs w:val="24"/>
                <w14:textFill>
                  <w14:solidFill>
                    <w14:schemeClr w14:val="tx1"/>
                  </w14:solidFill>
                </w14:textFill>
              </w:rPr>
              <w:t>；</w:t>
            </w:r>
          </w:p>
          <w:p w14:paraId="37DCD601">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（3）调查内容基本具备，但分析方法较简单或针对性一般，得</w:t>
            </w:r>
            <w:r>
              <w:rPr>
                <w:rFonts w:hint="eastAsia" w:ascii="仿宋" w:hAnsi="仿宋" w:eastAsia="仿宋" w:cs="仿宋"/>
                <w:bCs/>
                <w:color w:val="000000" w:themeColor="text1"/>
                <w:kern w:val="2"/>
                <w:sz w:val="24"/>
                <w:szCs w:val="24"/>
                <w:lang w:val="en-US" w:eastAsia="zh-CN"/>
                <w14:textFill>
                  <w14:solidFill>
                    <w14:schemeClr w14:val="tx1"/>
                  </w14:solidFill>
                </w14:textFill>
              </w:rPr>
              <w:t>4分</w:t>
            </w:r>
            <w:r>
              <w:rPr>
                <w:rFonts w:hint="eastAsia" w:ascii="仿宋" w:hAnsi="仿宋" w:eastAsia="仿宋" w:cs="仿宋"/>
                <w:bCs/>
                <w:color w:val="000000" w:themeColor="text1"/>
                <w:kern w:val="2"/>
                <w:sz w:val="24"/>
                <w:szCs w:val="24"/>
                <w14:textFill>
                  <w14:solidFill>
                    <w14:schemeClr w14:val="tx1"/>
                  </w14:solidFill>
                </w14:textFill>
              </w:rPr>
              <w:t>；</w:t>
            </w:r>
          </w:p>
          <w:p w14:paraId="3284EC79">
            <w:pPr>
              <w:pStyle w:val="6"/>
              <w:spacing w:line="360" w:lineRule="auto"/>
              <w:ind w:firstLine="0"/>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（4）未提供或内容与本项目无关的，得0分。</w:t>
            </w:r>
          </w:p>
        </w:tc>
      </w:tr>
      <w:tr w14:paraId="01869C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737" w:type="dxa"/>
            <w:tcBorders>
              <w:top w:val="single" w:color="auto" w:sz="2" w:space="0"/>
              <w:left w:val="single" w:color="000000" w:sz="4" w:space="0"/>
              <w:right w:val="single" w:color="000000" w:sz="6" w:space="0"/>
            </w:tcBorders>
            <w:noWrap w:val="0"/>
            <w:vAlign w:val="center"/>
          </w:tcPr>
          <w:p w14:paraId="739E4C8C">
            <w:pPr>
              <w:spacing w:line="360" w:lineRule="auto"/>
              <w:jc w:val="center"/>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w:t>
            </w:r>
          </w:p>
        </w:tc>
        <w:tc>
          <w:tcPr>
            <w:tcW w:w="1258" w:type="dxa"/>
            <w:tcBorders>
              <w:top w:val="single" w:color="auto" w:sz="2" w:space="0"/>
              <w:left w:val="single" w:color="000000" w:sz="6" w:space="0"/>
              <w:right w:val="single" w:color="000000" w:sz="6" w:space="0"/>
            </w:tcBorders>
            <w:noWrap w:val="0"/>
            <w:vAlign w:val="center"/>
          </w:tcPr>
          <w:p w14:paraId="434D4D89">
            <w:pPr>
              <w:spacing w:line="360" w:lineRule="auto"/>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可行性研究报告编制方案</w:t>
            </w:r>
          </w:p>
        </w:tc>
        <w:tc>
          <w:tcPr>
            <w:tcW w:w="831" w:type="dxa"/>
            <w:tcBorders>
              <w:top w:val="single" w:color="auto" w:sz="2" w:space="0"/>
              <w:left w:val="single" w:color="000000" w:sz="6" w:space="0"/>
              <w:right w:val="single" w:color="000000" w:sz="6" w:space="0"/>
            </w:tcBorders>
            <w:noWrap w:val="0"/>
            <w:vAlign w:val="center"/>
          </w:tcPr>
          <w:p w14:paraId="2139184C">
            <w:pPr>
              <w:pStyle w:val="6"/>
              <w:spacing w:line="360" w:lineRule="auto"/>
              <w:ind w:firstLine="0"/>
              <w:rPr>
                <w:rFonts w:hint="eastAsia" w:ascii="仿宋" w:hAnsi="仿宋" w:eastAsia="仿宋" w:cs="仿宋"/>
                <w:bCs/>
                <w:color w:val="000000" w:themeColor="text1"/>
                <w:sz w:val="24"/>
                <w:szCs w:val="24"/>
                <w:lang w:eastAsia="zh-CN"/>
                <w14:textFill>
                  <w14:solidFill>
                    <w14:schemeClr w14:val="tx1"/>
                  </w14:solidFill>
                </w14:textFill>
              </w:rPr>
            </w:pPr>
            <w:r>
              <w:rPr>
                <w:rFonts w:hint="eastAsia" w:ascii="仿宋" w:hAnsi="仿宋" w:eastAsia="仿宋" w:cs="仿宋"/>
                <w:bCs/>
                <w:color w:val="000000" w:themeColor="text1"/>
                <w:kern w:val="2"/>
                <w:sz w:val="24"/>
                <w:szCs w:val="24"/>
                <w:lang w:val="en-US" w:eastAsia="zh-CN"/>
                <w14:textFill>
                  <w14:solidFill>
                    <w14:schemeClr w14:val="tx1"/>
                  </w14:solidFill>
                </w14:textFill>
              </w:rPr>
              <w:t>10</w:t>
            </w:r>
            <w:r>
              <w:rPr>
                <w:rFonts w:hint="eastAsia" w:ascii="仿宋" w:hAnsi="仿宋" w:eastAsia="仿宋" w:cs="仿宋"/>
                <w:bCs/>
                <w:color w:val="000000" w:themeColor="text1"/>
                <w:kern w:val="2"/>
                <w:sz w:val="24"/>
                <w:szCs w:val="24"/>
                <w14:textFill>
                  <w14:solidFill>
                    <w14:schemeClr w14:val="tx1"/>
                  </w14:solidFill>
                </w14:textFill>
              </w:rPr>
              <w:t>分</w:t>
            </w:r>
          </w:p>
        </w:tc>
        <w:tc>
          <w:tcPr>
            <w:tcW w:w="6852" w:type="dxa"/>
            <w:tcBorders>
              <w:top w:val="single" w:color="auto" w:sz="2" w:space="0"/>
              <w:left w:val="single" w:color="000000" w:sz="6" w:space="0"/>
              <w:bottom w:val="single" w:color="auto" w:sz="2" w:space="0"/>
              <w:right w:val="single" w:color="000000" w:sz="6" w:space="0"/>
            </w:tcBorders>
            <w:noWrap w:val="0"/>
            <w:vAlign w:val="top"/>
          </w:tcPr>
          <w:p w14:paraId="776D1B14">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针对国家煤化工中心（淮南市质检所）重点工业产品检验检测设备更新项目（第二批）和</w:t>
            </w:r>
            <w:r>
              <w:rPr>
                <w:rFonts w:hint="eastAsia" w:ascii="仿宋" w:hAnsi="仿宋" w:eastAsia="仿宋" w:cs="仿宋"/>
                <w:bCs/>
                <w:color w:val="000000" w:themeColor="text1"/>
                <w:kern w:val="2"/>
                <w:sz w:val="24"/>
                <w:szCs w:val="24"/>
                <w:lang w:eastAsia="zh-CN"/>
                <w14:textFill>
                  <w14:solidFill>
                    <w14:schemeClr w14:val="tx1"/>
                  </w14:solidFill>
                </w14:textFill>
              </w:rPr>
              <w:t>食品安全监管基础设施建设项目</w:t>
            </w:r>
            <w:r>
              <w:rPr>
                <w:rFonts w:hint="eastAsia" w:ascii="仿宋" w:hAnsi="仿宋" w:eastAsia="仿宋" w:cs="仿宋"/>
                <w:bCs/>
                <w:color w:val="000000" w:themeColor="text1"/>
                <w:kern w:val="2"/>
                <w:sz w:val="24"/>
                <w:szCs w:val="24"/>
                <w14:textFill>
                  <w14:solidFill>
                    <w14:schemeClr w14:val="tx1"/>
                  </w14:solidFill>
                </w14:textFill>
              </w:rPr>
              <w:t>，重点评价可研编制思路、建设必要性及可行性论证、建设规模及内容、设备更新需求、建设条件、投资估算、资金筹措、效益及风险分析等。</w:t>
            </w:r>
          </w:p>
          <w:p w14:paraId="6A1C8DD4">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（1）可研编制思路完整清晰，对检验检测能力建设和设备更新特点把握准确，论证方法科学，能够满足立项、审批需要，得</w:t>
            </w:r>
            <w:r>
              <w:rPr>
                <w:rFonts w:hint="eastAsia" w:ascii="仿宋" w:hAnsi="仿宋" w:eastAsia="仿宋" w:cs="仿宋"/>
                <w:bCs/>
                <w:color w:val="000000" w:themeColor="text1"/>
                <w:kern w:val="2"/>
                <w:sz w:val="24"/>
                <w:szCs w:val="24"/>
                <w:lang w:val="en-US" w:eastAsia="zh-CN"/>
                <w14:textFill>
                  <w14:solidFill>
                    <w14:schemeClr w14:val="tx1"/>
                  </w14:solidFill>
                </w14:textFill>
              </w:rPr>
              <w:t>10</w:t>
            </w:r>
            <w:r>
              <w:rPr>
                <w:rFonts w:hint="eastAsia" w:ascii="仿宋" w:hAnsi="仿宋" w:eastAsia="仿宋" w:cs="仿宋"/>
                <w:bCs/>
                <w:color w:val="000000" w:themeColor="text1"/>
                <w:kern w:val="2"/>
                <w:sz w:val="24"/>
                <w:szCs w:val="24"/>
                <w14:textFill>
                  <w14:solidFill>
                    <w14:schemeClr w14:val="tx1"/>
                  </w14:solidFill>
                </w14:textFill>
              </w:rPr>
              <w:t>分；</w:t>
            </w:r>
          </w:p>
          <w:p w14:paraId="292B85E6">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（2）方案较完整，主要论证内容和方法基本合理，能够满足项目编制要求，得</w:t>
            </w:r>
            <w:r>
              <w:rPr>
                <w:rFonts w:hint="eastAsia" w:ascii="仿宋" w:hAnsi="仿宋" w:eastAsia="仿宋" w:cs="仿宋"/>
                <w:bCs/>
                <w:color w:val="000000" w:themeColor="text1"/>
                <w:kern w:val="2"/>
                <w:sz w:val="24"/>
                <w:szCs w:val="24"/>
                <w:lang w:val="en-US" w:eastAsia="zh-CN"/>
                <w14:textFill>
                  <w14:solidFill>
                    <w14:schemeClr w14:val="tx1"/>
                  </w14:solidFill>
                </w14:textFill>
              </w:rPr>
              <w:t>7分</w:t>
            </w:r>
            <w:r>
              <w:rPr>
                <w:rFonts w:hint="eastAsia" w:ascii="仿宋" w:hAnsi="仿宋" w:eastAsia="仿宋" w:cs="仿宋"/>
                <w:bCs/>
                <w:color w:val="000000" w:themeColor="text1"/>
                <w:kern w:val="2"/>
                <w:sz w:val="24"/>
                <w:szCs w:val="24"/>
                <w14:textFill>
                  <w14:solidFill>
                    <w14:schemeClr w14:val="tx1"/>
                  </w14:solidFill>
                </w14:textFill>
              </w:rPr>
              <w:t>；</w:t>
            </w:r>
          </w:p>
          <w:p w14:paraId="091B82DC">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（3）方案内容基本具备，但论证深度、针对性或完整性一般，得</w:t>
            </w:r>
            <w:r>
              <w:rPr>
                <w:rFonts w:hint="eastAsia" w:ascii="仿宋" w:hAnsi="仿宋" w:eastAsia="仿宋" w:cs="仿宋"/>
                <w:bCs/>
                <w:color w:val="000000" w:themeColor="text1"/>
                <w:kern w:val="2"/>
                <w:sz w:val="24"/>
                <w:szCs w:val="24"/>
                <w:lang w:val="en-US" w:eastAsia="zh-CN"/>
                <w14:textFill>
                  <w14:solidFill>
                    <w14:schemeClr w14:val="tx1"/>
                  </w14:solidFill>
                </w14:textFill>
              </w:rPr>
              <w:t>4分</w:t>
            </w:r>
            <w:r>
              <w:rPr>
                <w:rFonts w:hint="eastAsia" w:ascii="仿宋" w:hAnsi="仿宋" w:eastAsia="仿宋" w:cs="仿宋"/>
                <w:bCs/>
                <w:color w:val="000000" w:themeColor="text1"/>
                <w:kern w:val="2"/>
                <w:sz w:val="24"/>
                <w:szCs w:val="24"/>
                <w14:textFill>
                  <w14:solidFill>
                    <w14:schemeClr w14:val="tx1"/>
                  </w14:solidFill>
                </w14:textFill>
              </w:rPr>
              <w:t>；</w:t>
            </w:r>
          </w:p>
          <w:p w14:paraId="35D12E21">
            <w:pPr>
              <w:pStyle w:val="6"/>
              <w:spacing w:line="360" w:lineRule="auto"/>
              <w:ind w:firstLine="0"/>
              <w:rPr>
                <w:rFonts w:hint="eastAsia" w:ascii="仿宋" w:hAnsi="仿宋" w:eastAsia="仿宋" w:cs="仿宋"/>
                <w:bCs/>
                <w:color w:val="000000" w:themeColor="text1"/>
                <w:sz w:val="24"/>
                <w:szCs w:val="24"/>
                <w:lang w:eastAsia="zh-CN"/>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（4）未提供或明显不能满足项目要求的，得0分。</w:t>
            </w:r>
          </w:p>
        </w:tc>
      </w:tr>
      <w:tr w14:paraId="0BA80C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737" w:type="dxa"/>
            <w:tcBorders>
              <w:top w:val="single" w:color="auto" w:sz="2" w:space="0"/>
              <w:left w:val="single" w:color="000000" w:sz="4" w:space="0"/>
              <w:right w:val="single" w:color="000000" w:sz="6" w:space="0"/>
            </w:tcBorders>
            <w:noWrap w:val="0"/>
            <w:vAlign w:val="center"/>
          </w:tcPr>
          <w:p w14:paraId="7DFC24FC">
            <w:pPr>
              <w:spacing w:line="360" w:lineRule="auto"/>
              <w:jc w:val="center"/>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w:t>
            </w:r>
          </w:p>
        </w:tc>
        <w:tc>
          <w:tcPr>
            <w:tcW w:w="1258" w:type="dxa"/>
            <w:tcBorders>
              <w:top w:val="single" w:color="auto" w:sz="2" w:space="0"/>
              <w:left w:val="single" w:color="000000" w:sz="6" w:space="0"/>
              <w:right w:val="single" w:color="000000" w:sz="6" w:space="0"/>
            </w:tcBorders>
            <w:noWrap w:val="0"/>
            <w:vAlign w:val="center"/>
          </w:tcPr>
          <w:p w14:paraId="6875B0FF">
            <w:pPr>
              <w:widowControl/>
              <w:spacing w:line="360" w:lineRule="auto"/>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初步设计文本及投资概算编制方案</w:t>
            </w:r>
          </w:p>
        </w:tc>
        <w:tc>
          <w:tcPr>
            <w:tcW w:w="831" w:type="dxa"/>
            <w:tcBorders>
              <w:top w:val="single" w:color="auto" w:sz="2" w:space="0"/>
              <w:left w:val="single" w:color="000000" w:sz="6" w:space="0"/>
              <w:bottom w:val="single" w:color="auto" w:sz="2" w:space="0"/>
              <w:right w:val="single" w:color="000000" w:sz="6" w:space="0"/>
            </w:tcBorders>
            <w:noWrap w:val="0"/>
            <w:vAlign w:val="center"/>
          </w:tcPr>
          <w:p w14:paraId="3CEA6A38">
            <w:pPr>
              <w:pStyle w:val="6"/>
              <w:spacing w:line="360" w:lineRule="auto"/>
              <w:ind w:firstLine="0"/>
              <w:rPr>
                <w:rFonts w:hint="eastAsia" w:ascii="仿宋" w:hAnsi="仿宋" w:eastAsia="仿宋" w:cs="仿宋"/>
                <w:bCs/>
                <w:color w:val="000000" w:themeColor="text1"/>
                <w:sz w:val="24"/>
                <w:szCs w:val="24"/>
                <w:lang w:eastAsia="zh-CN"/>
                <w14:textFill>
                  <w14:solidFill>
                    <w14:schemeClr w14:val="tx1"/>
                  </w14:solidFill>
                </w14:textFill>
              </w:rPr>
            </w:pPr>
            <w:r>
              <w:rPr>
                <w:rFonts w:hint="eastAsia" w:ascii="仿宋" w:hAnsi="仿宋" w:eastAsia="仿宋" w:cs="仿宋"/>
                <w:bCs/>
                <w:color w:val="000000" w:themeColor="text1"/>
                <w:kern w:val="2"/>
                <w:sz w:val="24"/>
                <w:szCs w:val="24"/>
                <w:lang w:val="en-US" w:eastAsia="zh-CN"/>
                <w14:textFill>
                  <w14:solidFill>
                    <w14:schemeClr w14:val="tx1"/>
                  </w14:solidFill>
                </w14:textFill>
              </w:rPr>
              <w:t>10</w:t>
            </w:r>
            <w:r>
              <w:rPr>
                <w:rFonts w:hint="eastAsia" w:ascii="仿宋" w:hAnsi="仿宋" w:eastAsia="仿宋" w:cs="仿宋"/>
                <w:bCs/>
                <w:color w:val="000000" w:themeColor="text1"/>
                <w:kern w:val="2"/>
                <w:sz w:val="24"/>
                <w:szCs w:val="24"/>
                <w14:textFill>
                  <w14:solidFill>
                    <w14:schemeClr w14:val="tx1"/>
                  </w14:solidFill>
                </w14:textFill>
              </w:rPr>
              <w:t>分</w:t>
            </w:r>
          </w:p>
        </w:tc>
        <w:tc>
          <w:tcPr>
            <w:tcW w:w="6852" w:type="dxa"/>
            <w:tcBorders>
              <w:top w:val="single" w:color="auto" w:sz="2" w:space="0"/>
              <w:left w:val="single" w:color="000000" w:sz="6" w:space="0"/>
              <w:bottom w:val="single" w:color="auto" w:sz="2" w:space="0"/>
              <w:right w:val="single" w:color="000000" w:sz="6" w:space="0"/>
            </w:tcBorders>
            <w:noWrap w:val="0"/>
            <w:vAlign w:val="top"/>
          </w:tcPr>
          <w:p w14:paraId="108859F5">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针对三个子项目初步设计文本及投资概算编制工作进行评价，重点包括建设内容深化、功能需求分析、相关专业技术方案、设备安装条件、概算编制方法、投资控制以及与可研或批复内容衔接等；其中淮南牛肉汤检验检测中心建设项目、</w:t>
            </w:r>
            <w:r>
              <w:rPr>
                <w:rFonts w:hint="eastAsia" w:ascii="仿宋" w:hAnsi="仿宋" w:eastAsia="仿宋" w:cs="仿宋"/>
                <w:bCs/>
                <w:color w:val="000000" w:themeColor="text1"/>
                <w:kern w:val="2"/>
                <w:sz w:val="24"/>
                <w:szCs w:val="24"/>
                <w:lang w:eastAsia="zh-CN"/>
                <w14:textFill>
                  <w14:solidFill>
                    <w14:schemeClr w14:val="tx1"/>
                  </w14:solidFill>
                </w14:textFill>
              </w:rPr>
              <w:t>食品安全监管基础设施建设项目</w:t>
            </w:r>
            <w:r>
              <w:rPr>
                <w:rFonts w:hint="eastAsia" w:ascii="仿宋" w:hAnsi="仿宋" w:eastAsia="仿宋" w:cs="仿宋"/>
                <w:bCs/>
                <w:color w:val="000000" w:themeColor="text1"/>
                <w:kern w:val="2"/>
                <w:sz w:val="24"/>
                <w:szCs w:val="24"/>
                <w14:textFill>
                  <w14:solidFill>
                    <w14:schemeClr w14:val="tx1"/>
                  </w14:solidFill>
                </w14:textFill>
              </w:rPr>
              <w:t>初步设计不含图纸。</w:t>
            </w:r>
          </w:p>
          <w:p w14:paraId="3C55E0DE">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（1）初步设计及概算工作思路完整，各专业衔接合理，能够针对三个项目分别提出具体技术路线，概算编制及投资控制措施科学合理，得</w:t>
            </w:r>
            <w:r>
              <w:rPr>
                <w:rFonts w:hint="eastAsia" w:ascii="仿宋" w:hAnsi="仿宋" w:eastAsia="仿宋" w:cs="仿宋"/>
                <w:bCs/>
                <w:color w:val="000000" w:themeColor="text1"/>
                <w:kern w:val="2"/>
                <w:sz w:val="24"/>
                <w:szCs w:val="24"/>
                <w:lang w:val="en-US" w:eastAsia="zh-CN"/>
                <w14:textFill>
                  <w14:solidFill>
                    <w14:schemeClr w14:val="tx1"/>
                  </w14:solidFill>
                </w14:textFill>
              </w:rPr>
              <w:t>10</w:t>
            </w:r>
            <w:r>
              <w:rPr>
                <w:rFonts w:hint="eastAsia" w:ascii="仿宋" w:hAnsi="仿宋" w:eastAsia="仿宋" w:cs="仿宋"/>
                <w:bCs/>
                <w:color w:val="000000" w:themeColor="text1"/>
                <w:kern w:val="2"/>
                <w:sz w:val="24"/>
                <w:szCs w:val="24"/>
                <w14:textFill>
                  <w14:solidFill>
                    <w14:schemeClr w14:val="tx1"/>
                  </w14:solidFill>
                </w14:textFill>
              </w:rPr>
              <w:t>分；</w:t>
            </w:r>
          </w:p>
          <w:p w14:paraId="77490931">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（2）方案较完整，各专业工作安排和概算编制方法基本合理，能够满足项目要求，得</w:t>
            </w:r>
            <w:r>
              <w:rPr>
                <w:rFonts w:hint="eastAsia" w:ascii="仿宋" w:hAnsi="仿宋" w:eastAsia="仿宋" w:cs="仿宋"/>
                <w:bCs/>
                <w:color w:val="000000" w:themeColor="text1"/>
                <w:kern w:val="2"/>
                <w:sz w:val="24"/>
                <w:szCs w:val="24"/>
                <w:lang w:val="en-US" w:eastAsia="zh-CN"/>
                <w14:textFill>
                  <w14:solidFill>
                    <w14:schemeClr w14:val="tx1"/>
                  </w14:solidFill>
                </w14:textFill>
              </w:rPr>
              <w:t>7分</w:t>
            </w:r>
            <w:r>
              <w:rPr>
                <w:rFonts w:hint="eastAsia" w:ascii="仿宋" w:hAnsi="仿宋" w:eastAsia="仿宋" w:cs="仿宋"/>
                <w:bCs/>
                <w:color w:val="000000" w:themeColor="text1"/>
                <w:kern w:val="2"/>
                <w:sz w:val="24"/>
                <w:szCs w:val="24"/>
                <w14:textFill>
                  <w14:solidFill>
                    <w14:schemeClr w14:val="tx1"/>
                  </w14:solidFill>
                </w14:textFill>
              </w:rPr>
              <w:t>；</w:t>
            </w:r>
          </w:p>
          <w:p w14:paraId="009E6B30">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（3）方案基本具备，但专业衔接、投资控制或针对性一般，得</w:t>
            </w:r>
            <w:r>
              <w:rPr>
                <w:rFonts w:hint="eastAsia" w:ascii="仿宋" w:hAnsi="仿宋" w:eastAsia="仿宋" w:cs="仿宋"/>
                <w:bCs/>
                <w:color w:val="000000" w:themeColor="text1"/>
                <w:kern w:val="2"/>
                <w:sz w:val="24"/>
                <w:szCs w:val="24"/>
                <w:lang w:val="en-US" w:eastAsia="zh-CN"/>
                <w14:textFill>
                  <w14:solidFill>
                    <w14:schemeClr w14:val="tx1"/>
                  </w14:solidFill>
                </w14:textFill>
              </w:rPr>
              <w:t>4分</w:t>
            </w:r>
            <w:r>
              <w:rPr>
                <w:rFonts w:hint="eastAsia" w:ascii="仿宋" w:hAnsi="仿宋" w:eastAsia="仿宋" w:cs="仿宋"/>
                <w:bCs/>
                <w:color w:val="000000" w:themeColor="text1"/>
                <w:kern w:val="2"/>
                <w:sz w:val="24"/>
                <w:szCs w:val="24"/>
                <w14:textFill>
                  <w14:solidFill>
                    <w14:schemeClr w14:val="tx1"/>
                  </w14:solidFill>
                </w14:textFill>
              </w:rPr>
              <w:t>；</w:t>
            </w:r>
          </w:p>
          <w:p w14:paraId="2294A1F5">
            <w:pPr>
              <w:pStyle w:val="6"/>
              <w:spacing w:line="360" w:lineRule="auto"/>
              <w:ind w:firstLine="0"/>
              <w:rPr>
                <w:rFonts w:hint="eastAsia" w:ascii="仿宋" w:hAnsi="仿宋" w:eastAsia="仿宋" w:cs="仿宋"/>
                <w:color w:val="000000" w:themeColor="text1"/>
                <w:kern w:val="0"/>
                <w:sz w:val="24"/>
                <w:szCs w:val="24"/>
                <w:lang w:bidi="ar"/>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（4）未提供或明显不能满足项目要求的，得0分。</w:t>
            </w:r>
          </w:p>
        </w:tc>
      </w:tr>
      <w:tr w14:paraId="7FA88AF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737" w:type="dxa"/>
            <w:tcBorders>
              <w:top w:val="single" w:color="auto" w:sz="2" w:space="0"/>
              <w:left w:val="single" w:color="000000" w:sz="4" w:space="0"/>
              <w:right w:val="single" w:color="000000" w:sz="6" w:space="0"/>
            </w:tcBorders>
            <w:noWrap w:val="0"/>
            <w:vAlign w:val="center"/>
          </w:tcPr>
          <w:p w14:paraId="5A461BED">
            <w:pPr>
              <w:spacing w:line="360" w:lineRule="auto"/>
              <w:jc w:val="center"/>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p>
        </w:tc>
        <w:tc>
          <w:tcPr>
            <w:tcW w:w="1258" w:type="dxa"/>
            <w:tcBorders>
              <w:top w:val="single" w:color="auto" w:sz="2" w:space="0"/>
              <w:left w:val="single" w:color="000000" w:sz="6" w:space="0"/>
              <w:right w:val="single" w:color="000000" w:sz="6" w:space="0"/>
            </w:tcBorders>
            <w:noWrap w:val="0"/>
            <w:vAlign w:val="center"/>
          </w:tcPr>
          <w:p w14:paraId="6FFE615C">
            <w:pPr>
              <w:widowControl/>
              <w:spacing w:line="360" w:lineRule="auto"/>
              <w:jc w:val="center"/>
              <w:rPr>
                <w:rFonts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项目申报方案编制及政策衔接措施</w:t>
            </w:r>
          </w:p>
        </w:tc>
        <w:tc>
          <w:tcPr>
            <w:tcW w:w="831" w:type="dxa"/>
            <w:tcBorders>
              <w:top w:val="single" w:color="auto" w:sz="2" w:space="0"/>
              <w:left w:val="single" w:color="000000" w:sz="6" w:space="0"/>
              <w:bottom w:val="single" w:color="auto" w:sz="2" w:space="0"/>
              <w:right w:val="single" w:color="000000" w:sz="6" w:space="0"/>
            </w:tcBorders>
            <w:noWrap w:val="0"/>
            <w:vAlign w:val="center"/>
          </w:tcPr>
          <w:p w14:paraId="6DE9452A">
            <w:pPr>
              <w:pStyle w:val="6"/>
              <w:spacing w:line="360" w:lineRule="auto"/>
              <w:ind w:firstLine="0"/>
              <w:rPr>
                <w:rFonts w:hint="eastAsia" w:ascii="仿宋" w:hAnsi="仿宋" w:eastAsia="仿宋" w:cs="仿宋"/>
                <w:bCs/>
                <w:color w:val="000000" w:themeColor="text1"/>
                <w:sz w:val="24"/>
                <w:szCs w:val="24"/>
                <w:highlight w:val="none"/>
                <w:lang w:eastAsia="zh-CN"/>
                <w14:textFill>
                  <w14:solidFill>
                    <w14:schemeClr w14:val="tx1"/>
                  </w14:solidFill>
                </w14:textFill>
              </w:rPr>
            </w:pPr>
            <w:r>
              <w:rPr>
                <w:rFonts w:hint="eastAsia" w:ascii="仿宋" w:hAnsi="仿宋" w:eastAsia="仿宋" w:cs="仿宋"/>
                <w:bCs/>
                <w:color w:val="000000" w:themeColor="text1"/>
                <w:kern w:val="2"/>
                <w:sz w:val="24"/>
                <w:szCs w:val="24"/>
                <w:lang w:val="en-US" w:eastAsia="zh-CN"/>
                <w14:textFill>
                  <w14:solidFill>
                    <w14:schemeClr w14:val="tx1"/>
                  </w14:solidFill>
                </w14:textFill>
              </w:rPr>
              <w:t>10</w:t>
            </w:r>
            <w:r>
              <w:rPr>
                <w:rFonts w:hint="eastAsia" w:ascii="仿宋" w:hAnsi="仿宋" w:eastAsia="仿宋" w:cs="仿宋"/>
                <w:bCs/>
                <w:color w:val="000000" w:themeColor="text1"/>
                <w:kern w:val="2"/>
                <w:sz w:val="24"/>
                <w:szCs w:val="24"/>
                <w14:textFill>
                  <w14:solidFill>
                    <w14:schemeClr w14:val="tx1"/>
                  </w14:solidFill>
                </w14:textFill>
              </w:rPr>
              <w:t>分</w:t>
            </w:r>
          </w:p>
        </w:tc>
        <w:tc>
          <w:tcPr>
            <w:tcW w:w="6852" w:type="dxa"/>
            <w:tcBorders>
              <w:top w:val="single" w:color="auto" w:sz="2" w:space="0"/>
              <w:left w:val="single" w:color="000000" w:sz="6" w:space="0"/>
              <w:bottom w:val="single" w:color="auto" w:sz="2" w:space="0"/>
              <w:right w:val="single" w:color="000000" w:sz="6" w:space="0"/>
            </w:tcBorders>
            <w:noWrap w:val="0"/>
            <w:vAlign w:val="top"/>
          </w:tcPr>
          <w:p w14:paraId="24ECB9B0">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针对</w:t>
            </w:r>
            <w:r>
              <w:rPr>
                <w:rFonts w:hint="eastAsia" w:ascii="仿宋" w:hAnsi="仿宋" w:eastAsia="仿宋" w:cs="仿宋"/>
                <w:bCs/>
                <w:color w:val="000000" w:themeColor="text1"/>
                <w:kern w:val="2"/>
                <w:sz w:val="24"/>
                <w:szCs w:val="24"/>
                <w:lang w:eastAsia="zh-CN"/>
                <w14:textFill>
                  <w14:solidFill>
                    <w14:schemeClr w14:val="tx1"/>
                  </w14:solidFill>
                </w14:textFill>
              </w:rPr>
              <w:t>食品安全监管基础设施建设项目</w:t>
            </w:r>
            <w:r>
              <w:rPr>
                <w:rFonts w:hint="eastAsia" w:ascii="仿宋" w:hAnsi="仿宋" w:eastAsia="仿宋" w:cs="仿宋"/>
                <w:bCs/>
                <w:color w:val="000000" w:themeColor="text1"/>
                <w:kern w:val="2"/>
                <w:sz w:val="24"/>
                <w:szCs w:val="24"/>
                <w14:textFill>
                  <w14:solidFill>
                    <w14:schemeClr w14:val="tx1"/>
                  </w14:solidFill>
                </w14:textFill>
              </w:rPr>
              <w:t>申报方案编制及项目申报配合工作进行评分。重点包括申报政策研究、资金支持方向分析、申报条件匹配、建设内容及投资优化、绩效目标设置、申报材料组织和主管部门沟通衔接等。</w:t>
            </w:r>
          </w:p>
          <w:p w14:paraId="4C546E2C">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（1）申报工作思路完整，对政策符合性、申报方向、建设内容、资金需求及绩效目标等分析充分，措施具体、可操作性强，得</w:t>
            </w:r>
            <w:r>
              <w:rPr>
                <w:rFonts w:hint="eastAsia" w:ascii="仿宋" w:hAnsi="仿宋" w:eastAsia="仿宋" w:cs="仿宋"/>
                <w:bCs/>
                <w:color w:val="000000" w:themeColor="text1"/>
                <w:kern w:val="2"/>
                <w:sz w:val="24"/>
                <w:szCs w:val="24"/>
                <w:lang w:val="en-US" w:eastAsia="zh-CN"/>
                <w14:textFill>
                  <w14:solidFill>
                    <w14:schemeClr w14:val="tx1"/>
                  </w14:solidFill>
                </w14:textFill>
              </w:rPr>
              <w:t>10</w:t>
            </w:r>
            <w:r>
              <w:rPr>
                <w:rFonts w:hint="eastAsia" w:ascii="仿宋" w:hAnsi="仿宋" w:eastAsia="仿宋" w:cs="仿宋"/>
                <w:bCs/>
                <w:color w:val="000000" w:themeColor="text1"/>
                <w:kern w:val="2"/>
                <w:sz w:val="24"/>
                <w:szCs w:val="24"/>
                <w14:textFill>
                  <w14:solidFill>
                    <w14:schemeClr w14:val="tx1"/>
                  </w14:solidFill>
                </w14:textFill>
              </w:rPr>
              <w:t>分；</w:t>
            </w:r>
          </w:p>
          <w:p w14:paraId="679BA760">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（2）申报工作思路较完整，政策衔接及材料编制措施基本合理，得</w:t>
            </w:r>
            <w:r>
              <w:rPr>
                <w:rFonts w:hint="eastAsia" w:ascii="仿宋" w:hAnsi="仿宋" w:eastAsia="仿宋" w:cs="仿宋"/>
                <w:bCs/>
                <w:color w:val="000000" w:themeColor="text1"/>
                <w:kern w:val="2"/>
                <w:sz w:val="24"/>
                <w:szCs w:val="24"/>
                <w:lang w:val="en-US" w:eastAsia="zh-CN"/>
                <w14:textFill>
                  <w14:solidFill>
                    <w14:schemeClr w14:val="tx1"/>
                  </w14:solidFill>
                </w14:textFill>
              </w:rPr>
              <w:t>7分</w:t>
            </w:r>
            <w:r>
              <w:rPr>
                <w:rFonts w:hint="eastAsia" w:ascii="仿宋" w:hAnsi="仿宋" w:eastAsia="仿宋" w:cs="仿宋"/>
                <w:bCs/>
                <w:color w:val="000000" w:themeColor="text1"/>
                <w:kern w:val="2"/>
                <w:sz w:val="24"/>
                <w:szCs w:val="24"/>
                <w14:textFill>
                  <w14:solidFill>
                    <w14:schemeClr w14:val="tx1"/>
                  </w14:solidFill>
                </w14:textFill>
              </w:rPr>
              <w:t>；</w:t>
            </w:r>
          </w:p>
          <w:p w14:paraId="52016295">
            <w:pPr>
              <w:pStyle w:val="6"/>
              <w:spacing w:line="360" w:lineRule="auto"/>
              <w:ind w:firstLine="0"/>
              <w:rPr>
                <w:rFonts w:hint="eastAsia" w:ascii="仿宋" w:hAnsi="仿宋" w:eastAsia="仿宋" w:cs="仿宋"/>
                <w:bCs/>
                <w:color w:val="000000" w:themeColor="text1"/>
                <w:kern w:val="2"/>
                <w:sz w:val="24"/>
                <w:szCs w:val="24"/>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（3）仅提出基本申报工作内容，针对性及可操作性一般，得</w:t>
            </w:r>
            <w:r>
              <w:rPr>
                <w:rFonts w:hint="eastAsia" w:ascii="仿宋" w:hAnsi="仿宋" w:eastAsia="仿宋" w:cs="仿宋"/>
                <w:bCs/>
                <w:color w:val="000000" w:themeColor="text1"/>
                <w:kern w:val="2"/>
                <w:sz w:val="24"/>
                <w:szCs w:val="24"/>
                <w:lang w:val="en-US" w:eastAsia="zh-CN"/>
                <w14:textFill>
                  <w14:solidFill>
                    <w14:schemeClr w14:val="tx1"/>
                  </w14:solidFill>
                </w14:textFill>
              </w:rPr>
              <w:t>4分</w:t>
            </w:r>
            <w:r>
              <w:rPr>
                <w:rFonts w:hint="eastAsia" w:ascii="仿宋" w:hAnsi="仿宋" w:eastAsia="仿宋" w:cs="仿宋"/>
                <w:bCs/>
                <w:color w:val="000000" w:themeColor="text1"/>
                <w:kern w:val="2"/>
                <w:sz w:val="24"/>
                <w:szCs w:val="24"/>
                <w14:textFill>
                  <w14:solidFill>
                    <w14:schemeClr w14:val="tx1"/>
                  </w14:solidFill>
                </w14:textFill>
              </w:rPr>
              <w:t>；</w:t>
            </w:r>
          </w:p>
          <w:p w14:paraId="52E44DB8">
            <w:pPr>
              <w:widowControl/>
              <w:spacing w:line="360" w:lineRule="auto"/>
              <w:jc w:val="left"/>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2"/>
                <w:sz w:val="24"/>
                <w:szCs w:val="24"/>
                <w14:textFill>
                  <w14:solidFill>
                    <w14:schemeClr w14:val="tx1"/>
                  </w14:solidFill>
                </w14:textFill>
              </w:rPr>
              <w:t>（4）未提供的，得0分。</w:t>
            </w:r>
          </w:p>
        </w:tc>
      </w:tr>
      <w:tr w14:paraId="09BD23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9678" w:type="dxa"/>
            <w:gridSpan w:val="4"/>
            <w:tcBorders>
              <w:top w:val="single" w:color="auto" w:sz="2" w:space="0"/>
              <w:left w:val="single" w:color="000000" w:sz="4" w:space="0"/>
              <w:bottom w:val="single" w:color="auto" w:sz="2" w:space="0"/>
              <w:right w:val="single" w:color="000000" w:sz="6" w:space="0"/>
            </w:tcBorders>
            <w:noWrap w:val="0"/>
            <w:vAlign w:val="center"/>
          </w:tcPr>
          <w:p w14:paraId="0A91A0CA">
            <w:pPr>
              <w:spacing w:line="360" w:lineRule="auto"/>
              <w:rPr>
                <w:rFonts w:hint="eastAsia" w:ascii="仿宋" w:hAnsi="仿宋" w:eastAsia="仿宋" w:cs="仿宋"/>
                <w:color w:val="000000" w:themeColor="text1"/>
                <w:spacing w:val="-7"/>
                <w:sz w:val="24"/>
                <w:szCs w:val="24"/>
                <w14:textFill>
                  <w14:solidFill>
                    <w14:schemeClr w14:val="tx1"/>
                  </w14:solidFill>
                </w14:textFill>
              </w:rPr>
            </w:pPr>
            <w:r>
              <w:rPr>
                <w:rFonts w:hint="eastAsia" w:ascii="仿宋" w:hAnsi="仿宋" w:eastAsia="仿宋" w:cs="仿宋"/>
                <w:color w:val="000000" w:themeColor="text1"/>
                <w:spacing w:val="-7"/>
                <w:sz w:val="24"/>
                <w:szCs w:val="24"/>
                <w14:textFill>
                  <w14:solidFill>
                    <w14:schemeClr w14:val="tx1"/>
                  </w14:solidFill>
                </w14:textFill>
              </w:rPr>
              <w:t>注：以上评审无须提供原件，但供应商在投标文件内提供的复印件或扫描件应保证内容清晰可见，如因模糊不清导致评审专家无法辨认，其后果自行承担。</w:t>
            </w:r>
          </w:p>
        </w:tc>
      </w:tr>
    </w:tbl>
    <w:p w14:paraId="74F3C83D">
      <w:pPr>
        <w:pStyle w:val="9"/>
        <w:autoSpaceDE w:val="0"/>
        <w:spacing w:line="440" w:lineRule="exact"/>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备注：以上由评审专家分别打分，所有评审专家累计评分的算术平均值（保留小数点后两位，第三位四舍五入）即为各项的得分。本次磋商文件中要求提供的相关证明材料，投标时提供复印件或扫描件加盖投标供应商</w:t>
      </w:r>
      <w:r>
        <w:rPr>
          <w:rFonts w:hint="eastAsia" w:ascii="仿宋" w:hAnsi="仿宋" w:eastAsia="仿宋" w:cs="仿宋"/>
          <w:color w:val="auto"/>
          <w:sz w:val="24"/>
          <w:szCs w:val="24"/>
          <w:highlight w:val="none"/>
          <w:lang w:val="en-US" w:eastAsia="zh-CN"/>
        </w:rPr>
        <w:t>公</w:t>
      </w:r>
      <w:r>
        <w:rPr>
          <w:rFonts w:hint="eastAsia" w:ascii="仿宋" w:hAnsi="仿宋" w:eastAsia="仿宋" w:cs="仿宋"/>
          <w:color w:val="auto"/>
          <w:sz w:val="24"/>
          <w:szCs w:val="24"/>
          <w:highlight w:val="none"/>
        </w:rPr>
        <w:t>章，所有扫描件或复印件必须清晰可辨，因不清晰评委无法辨认按没提供处理供应商对证明材料真实性负法律责任，如虚假投标，采购人有权报请政府采购监管部门取消其成交资格；</w:t>
      </w:r>
    </w:p>
    <w:p w14:paraId="45A2B489">
      <w:pPr>
        <w:pStyle w:val="2"/>
        <w:snapToGrid w:val="0"/>
        <w:spacing w:line="400" w:lineRule="exact"/>
        <w:ind w:firstLine="480" w:firstLineChars="200"/>
        <w:contextualSpacing/>
        <w:rPr>
          <w:rFonts w:hint="default" w:ascii="仿宋" w:hAnsi="仿宋" w:eastAsia="仿宋" w:cs="仿宋"/>
          <w:b w:val="0"/>
          <w:color w:val="auto"/>
          <w:sz w:val="24"/>
          <w:szCs w:val="24"/>
          <w:highlight w:val="none"/>
        </w:rPr>
      </w:pPr>
      <w:bookmarkStart w:id="939" w:name="_Toc144969109"/>
      <w:r>
        <w:rPr>
          <w:rFonts w:ascii="仿宋" w:hAnsi="仿宋" w:eastAsia="仿宋" w:cs="仿宋"/>
          <w:b w:val="0"/>
          <w:color w:val="auto"/>
          <w:sz w:val="24"/>
          <w:szCs w:val="24"/>
          <w:highlight w:val="none"/>
        </w:rPr>
        <w:t>计算上的算术错误。修正错误的原则如下：</w:t>
      </w:r>
      <w:bookmarkEnd w:id="939"/>
    </w:p>
    <w:p w14:paraId="38086914">
      <w:pPr>
        <w:pStyle w:val="2"/>
        <w:snapToGrid w:val="0"/>
        <w:spacing w:line="400" w:lineRule="exact"/>
        <w:ind w:left="6" w:firstLine="480" w:firstLineChars="200"/>
        <w:contextualSpacing/>
        <w:rPr>
          <w:rFonts w:hint="default" w:ascii="仿宋" w:hAnsi="仿宋" w:eastAsia="仿宋" w:cs="仿宋"/>
          <w:b w:val="0"/>
          <w:color w:val="auto"/>
          <w:sz w:val="24"/>
          <w:szCs w:val="24"/>
          <w:highlight w:val="none"/>
        </w:rPr>
      </w:pPr>
      <w:bookmarkStart w:id="940" w:name="_Toc144969110"/>
      <w:r>
        <w:rPr>
          <w:rFonts w:ascii="仿宋" w:hAnsi="仿宋" w:eastAsia="仿宋" w:cs="仿宋"/>
          <w:b w:val="0"/>
          <w:color w:val="auto"/>
          <w:sz w:val="24"/>
          <w:szCs w:val="24"/>
          <w:highlight w:val="none"/>
        </w:rPr>
        <w:t>（1）磋商响应文件中开标一览表（报价表）内容与磋商响应文件中明细表内容不一致的，以开标一览表（报价表）为准。</w:t>
      </w:r>
      <w:bookmarkEnd w:id="940"/>
    </w:p>
    <w:p w14:paraId="39BD46CE">
      <w:pPr>
        <w:pStyle w:val="2"/>
        <w:snapToGrid w:val="0"/>
        <w:spacing w:line="400" w:lineRule="exact"/>
        <w:ind w:left="6" w:firstLine="480" w:firstLineChars="200"/>
        <w:contextualSpacing/>
        <w:rPr>
          <w:rFonts w:hint="default" w:ascii="仿宋" w:hAnsi="仿宋" w:eastAsia="仿宋" w:cs="仿宋"/>
          <w:b w:val="0"/>
          <w:color w:val="auto"/>
          <w:sz w:val="24"/>
          <w:szCs w:val="24"/>
          <w:highlight w:val="none"/>
        </w:rPr>
      </w:pPr>
      <w:bookmarkStart w:id="941" w:name="_Toc144969111"/>
      <w:r>
        <w:rPr>
          <w:rFonts w:ascii="仿宋" w:hAnsi="仿宋" w:eastAsia="仿宋" w:cs="仿宋"/>
          <w:b w:val="0"/>
          <w:color w:val="auto"/>
          <w:sz w:val="24"/>
          <w:szCs w:val="24"/>
          <w:highlight w:val="none"/>
        </w:rPr>
        <w:t>（2）如果数字表示的金额和用文字表示的金额不一致时，以文字表示的金额为准；</w:t>
      </w:r>
      <w:bookmarkEnd w:id="941"/>
      <w:r>
        <w:rPr>
          <w:rFonts w:ascii="仿宋" w:hAnsi="仿宋" w:eastAsia="仿宋" w:cs="仿宋"/>
          <w:b w:val="0"/>
          <w:color w:val="auto"/>
          <w:sz w:val="24"/>
          <w:szCs w:val="24"/>
          <w:highlight w:val="none"/>
        </w:rPr>
        <w:t xml:space="preserve"> </w:t>
      </w:r>
    </w:p>
    <w:p w14:paraId="27C0E40F">
      <w:pPr>
        <w:pStyle w:val="2"/>
        <w:snapToGrid w:val="0"/>
        <w:spacing w:line="400" w:lineRule="exact"/>
        <w:ind w:left="6" w:firstLine="480" w:firstLineChars="200"/>
        <w:contextualSpacing/>
        <w:rPr>
          <w:rFonts w:hint="default" w:ascii="仿宋" w:hAnsi="仿宋" w:eastAsia="仿宋" w:cs="仿宋"/>
          <w:b w:val="0"/>
          <w:color w:val="auto"/>
          <w:sz w:val="24"/>
          <w:szCs w:val="24"/>
          <w:highlight w:val="none"/>
        </w:rPr>
      </w:pPr>
      <w:bookmarkStart w:id="942" w:name="_Toc144969112"/>
      <w:r>
        <w:rPr>
          <w:rFonts w:ascii="仿宋" w:hAnsi="仿宋" w:eastAsia="仿宋" w:cs="仿宋"/>
          <w:b w:val="0"/>
          <w:color w:val="auto"/>
          <w:sz w:val="24"/>
          <w:szCs w:val="24"/>
          <w:highlight w:val="none"/>
        </w:rPr>
        <w:t>（3）如果单价与数量的乘积和总价不一致，以单价为准。当小数点有明显的错误时，磋商小组将以总价为准，并修正其单价。</w:t>
      </w:r>
      <w:bookmarkEnd w:id="942"/>
      <w:r>
        <w:rPr>
          <w:rFonts w:ascii="仿宋" w:hAnsi="仿宋" w:eastAsia="仿宋" w:cs="仿宋"/>
          <w:b w:val="0"/>
          <w:color w:val="auto"/>
          <w:sz w:val="24"/>
          <w:szCs w:val="24"/>
          <w:highlight w:val="none"/>
        </w:rPr>
        <w:t xml:space="preserve"> </w:t>
      </w:r>
    </w:p>
    <w:p w14:paraId="75079414">
      <w:pPr>
        <w:pStyle w:val="2"/>
        <w:snapToGrid w:val="0"/>
        <w:spacing w:line="400" w:lineRule="exact"/>
        <w:ind w:left="6" w:firstLine="480" w:firstLineChars="200"/>
        <w:contextualSpacing/>
        <w:rPr>
          <w:rFonts w:hint="default" w:ascii="仿宋" w:hAnsi="仿宋" w:eastAsia="仿宋" w:cs="仿宋"/>
          <w:b w:val="0"/>
          <w:color w:val="auto"/>
          <w:sz w:val="24"/>
          <w:szCs w:val="24"/>
          <w:highlight w:val="none"/>
        </w:rPr>
      </w:pPr>
      <w:bookmarkStart w:id="943" w:name="_Toc144969113"/>
      <w:r>
        <w:rPr>
          <w:rFonts w:ascii="仿宋" w:hAnsi="仿宋" w:eastAsia="仿宋" w:cs="仿宋"/>
          <w:b w:val="0"/>
          <w:color w:val="auto"/>
          <w:sz w:val="24"/>
          <w:szCs w:val="24"/>
          <w:highlight w:val="none"/>
        </w:rPr>
        <w:t>（4）磋商小组将允许投标供应商修改其投标中不构成重大偏离的微小的、非正规的、不一致的或不规则的地方，但这些修改不能影响任何投标供应商的名次相应排列。报价关键漏（缺）项处理：</w:t>
      </w:r>
      <w:bookmarkEnd w:id="943"/>
    </w:p>
    <w:p w14:paraId="298AEC67">
      <w:pPr>
        <w:pStyle w:val="2"/>
        <w:snapToGrid w:val="0"/>
        <w:spacing w:line="400" w:lineRule="exact"/>
        <w:ind w:left="6" w:firstLine="480" w:firstLineChars="200"/>
        <w:contextualSpacing/>
        <w:rPr>
          <w:rFonts w:hint="default" w:ascii="仿宋" w:hAnsi="仿宋" w:eastAsia="仿宋" w:cs="仿宋"/>
          <w:b w:val="0"/>
          <w:color w:val="auto"/>
          <w:sz w:val="24"/>
          <w:szCs w:val="24"/>
          <w:highlight w:val="none"/>
        </w:rPr>
      </w:pPr>
      <w:bookmarkStart w:id="944" w:name="_Toc144969114"/>
      <w:r>
        <w:rPr>
          <w:rFonts w:ascii="仿宋" w:hAnsi="仿宋" w:eastAsia="仿宋" w:cs="仿宋"/>
          <w:b w:val="0"/>
          <w:color w:val="auto"/>
          <w:sz w:val="24"/>
          <w:szCs w:val="24"/>
          <w:highlight w:val="none"/>
        </w:rPr>
        <w:t>磋商小组对合格的投标供应商的投标报价进行详细分析、核查，检查其是否存在关键漏（缺）报项，若存在关键漏（缺）报项，在评审时取其他有效投标供应商的该项有效报价中的最高报价加入评审价进行评审，对多报项及赠送项的价格评审时不予核减报价进行评审。磋商小组按照磋商文件规定对投标供应商报价进行调整修正，调整后的价格对投标供应商具有约束力。如果投标供应商不接受修正后的报价，则其报价将被拒绝，其磋商响应文件为无效</w:t>
      </w:r>
      <w:r>
        <w:rPr>
          <w:rFonts w:hint="eastAsia" w:ascii="仿宋" w:hAnsi="仿宋" w:eastAsia="仿宋" w:cs="仿宋"/>
          <w:b w:val="0"/>
          <w:color w:val="auto"/>
          <w:sz w:val="24"/>
          <w:szCs w:val="24"/>
          <w:highlight w:val="none"/>
          <w:lang w:val="en-US" w:eastAsia="zh-CN"/>
        </w:rPr>
        <w:t>磋商</w:t>
      </w:r>
      <w:r>
        <w:rPr>
          <w:rFonts w:ascii="仿宋" w:hAnsi="仿宋" w:eastAsia="仿宋" w:cs="仿宋"/>
          <w:b w:val="0"/>
          <w:color w:val="auto"/>
          <w:sz w:val="24"/>
          <w:szCs w:val="24"/>
          <w:highlight w:val="none"/>
        </w:rPr>
        <w:t>响应文件。</w:t>
      </w:r>
      <w:bookmarkEnd w:id="944"/>
    </w:p>
    <w:bookmarkEnd w:id="581"/>
    <w:bookmarkEnd w:id="582"/>
    <w:bookmarkEnd w:id="583"/>
    <w:p w14:paraId="67C5671D">
      <w:pPr>
        <w:pStyle w:val="2"/>
        <w:numPr>
          <w:ilvl w:val="0"/>
          <w:numId w:val="0"/>
        </w:numPr>
        <w:spacing w:line="440" w:lineRule="exact"/>
        <w:ind w:left="922" w:leftChars="0" w:hanging="360" w:firstLineChars="0"/>
        <w:rPr>
          <w:rFonts w:hint="default" w:ascii="仿宋" w:hAnsi="仿宋" w:eastAsia="仿宋" w:cs="仿宋"/>
          <w:bCs/>
          <w:color w:val="auto"/>
          <w:sz w:val="24"/>
          <w:szCs w:val="24"/>
          <w:highlight w:val="none"/>
        </w:rPr>
      </w:pPr>
      <w:bookmarkStart w:id="945" w:name="_Toc21251"/>
      <w:bookmarkEnd w:id="945"/>
      <w:bookmarkStart w:id="946" w:name="_Toc18390"/>
      <w:bookmarkEnd w:id="946"/>
      <w:bookmarkStart w:id="947" w:name="_Toc23690"/>
      <w:bookmarkEnd w:id="947"/>
      <w:bookmarkStart w:id="948" w:name="_Toc21051"/>
      <w:bookmarkEnd w:id="948"/>
      <w:bookmarkStart w:id="949" w:name="_Toc11051"/>
      <w:bookmarkStart w:id="950" w:name="_Toc144907772"/>
      <w:bookmarkStart w:id="951" w:name="_Toc143443795"/>
      <w:bookmarkStart w:id="952" w:name="_Toc16324"/>
      <w:r>
        <w:rPr>
          <w:rFonts w:hint="default" w:ascii="仿宋" w:hAnsi="仿宋" w:eastAsia="仿宋" w:cs="仿宋"/>
          <w:b/>
          <w:bCs/>
          <w:color w:val="auto"/>
          <w:kern w:val="0"/>
          <w:sz w:val="24"/>
          <w:szCs w:val="24"/>
          <w:highlight w:val="none"/>
          <w:lang w:val="en-US" w:eastAsia="zh-CN" w:bidi="ar-SA"/>
        </w:rPr>
        <w:t>5.</w:t>
      </w:r>
      <w:r>
        <w:rPr>
          <w:rFonts w:ascii="仿宋" w:hAnsi="仿宋" w:eastAsia="仿宋" w:cs="仿宋"/>
          <w:bCs/>
          <w:color w:val="auto"/>
          <w:sz w:val="24"/>
          <w:szCs w:val="24"/>
          <w:highlight w:val="none"/>
        </w:rPr>
        <w:t>评审结果</w:t>
      </w:r>
      <w:bookmarkEnd w:id="949"/>
      <w:bookmarkEnd w:id="950"/>
      <w:bookmarkEnd w:id="951"/>
      <w:bookmarkEnd w:id="952"/>
    </w:p>
    <w:p w14:paraId="706D51B6">
      <w:pPr>
        <w:pStyle w:val="2"/>
        <w:snapToGrid w:val="0"/>
        <w:spacing w:line="400" w:lineRule="exact"/>
        <w:ind w:left="6" w:firstLine="480" w:firstLineChars="200"/>
        <w:contextualSpacing/>
        <w:rPr>
          <w:rFonts w:hint="default" w:ascii="仿宋" w:hAnsi="仿宋" w:eastAsia="仿宋" w:cs="仿宋"/>
          <w:b w:val="0"/>
          <w:color w:val="auto"/>
          <w:sz w:val="24"/>
          <w:szCs w:val="24"/>
          <w:highlight w:val="none"/>
        </w:rPr>
      </w:pPr>
      <w:bookmarkStart w:id="953" w:name="_Toc23631"/>
      <w:bookmarkEnd w:id="953"/>
      <w:bookmarkStart w:id="954" w:name="_Toc18335"/>
      <w:bookmarkEnd w:id="954"/>
      <w:bookmarkStart w:id="955" w:name="_Toc26171"/>
      <w:bookmarkEnd w:id="955"/>
      <w:bookmarkStart w:id="956" w:name="_Toc7380"/>
      <w:bookmarkEnd w:id="956"/>
      <w:bookmarkStart w:id="957" w:name="_Toc31324"/>
      <w:bookmarkEnd w:id="957"/>
      <w:bookmarkStart w:id="958" w:name="_Toc13892"/>
      <w:bookmarkEnd w:id="958"/>
      <w:bookmarkStart w:id="959" w:name="_Toc24930"/>
      <w:bookmarkEnd w:id="959"/>
      <w:bookmarkStart w:id="960" w:name="_Toc29395"/>
      <w:bookmarkEnd w:id="960"/>
      <w:bookmarkStart w:id="961" w:name="_Toc144969117"/>
      <w:bookmarkStart w:id="962" w:name="_Toc7425"/>
      <w:bookmarkStart w:id="963" w:name="_Toc143443797"/>
      <w:bookmarkStart w:id="964" w:name="_Toc5078"/>
      <w:bookmarkStart w:id="965" w:name="_Toc144907774"/>
      <w:r>
        <w:rPr>
          <w:rFonts w:ascii="仿宋" w:hAnsi="仿宋" w:eastAsia="仿宋" w:cs="仿宋"/>
          <w:b w:val="0"/>
          <w:color w:val="auto"/>
          <w:sz w:val="24"/>
          <w:szCs w:val="24"/>
          <w:highlight w:val="none"/>
        </w:rPr>
        <w:t>（1）供应商实际得分为技术标评审和商务标评审两项得分之和。</w:t>
      </w:r>
      <w:bookmarkEnd w:id="961"/>
    </w:p>
    <w:p w14:paraId="36C04A9E">
      <w:pPr>
        <w:pStyle w:val="2"/>
        <w:snapToGrid w:val="0"/>
        <w:spacing w:line="400" w:lineRule="exact"/>
        <w:ind w:left="6" w:firstLine="480" w:firstLineChars="200"/>
        <w:contextualSpacing/>
        <w:rPr>
          <w:rFonts w:hint="default" w:ascii="仿宋" w:hAnsi="仿宋" w:eastAsia="仿宋" w:cs="仿宋"/>
          <w:b w:val="0"/>
          <w:color w:val="auto"/>
          <w:sz w:val="24"/>
          <w:szCs w:val="24"/>
          <w:highlight w:val="none"/>
        </w:rPr>
      </w:pPr>
      <w:bookmarkStart w:id="966" w:name="_Toc144969118"/>
      <w:r>
        <w:rPr>
          <w:rFonts w:ascii="仿宋" w:hAnsi="仿宋" w:eastAsia="仿宋" w:cs="仿宋"/>
          <w:b w:val="0"/>
          <w:color w:val="auto"/>
          <w:sz w:val="24"/>
          <w:szCs w:val="24"/>
          <w:highlight w:val="none"/>
        </w:rPr>
        <w:t>（2）技术标评审由全体磋商小组成员综合评议并独立打分，取所有评审专家打分的平均分作为供应商技术标的得分；商务标评审由全体磋商小组成员统计，全体磋商小组成员签字确认。</w:t>
      </w:r>
      <w:bookmarkEnd w:id="966"/>
    </w:p>
    <w:p w14:paraId="5B89B9EA">
      <w:pPr>
        <w:pStyle w:val="2"/>
        <w:snapToGrid w:val="0"/>
        <w:spacing w:line="400" w:lineRule="exact"/>
        <w:ind w:left="6" w:firstLine="480" w:firstLineChars="200"/>
        <w:contextualSpacing/>
        <w:rPr>
          <w:rFonts w:hint="default" w:ascii="仿宋" w:hAnsi="仿宋" w:eastAsia="仿宋" w:cs="仿宋"/>
          <w:b w:val="0"/>
          <w:color w:val="auto"/>
          <w:sz w:val="24"/>
          <w:szCs w:val="24"/>
          <w:highlight w:val="none"/>
        </w:rPr>
      </w:pPr>
      <w:bookmarkStart w:id="967" w:name="_Toc144969119"/>
      <w:r>
        <w:rPr>
          <w:rFonts w:ascii="仿宋" w:hAnsi="仿宋" w:eastAsia="仿宋" w:cs="仿宋"/>
          <w:b w:val="0"/>
          <w:color w:val="auto"/>
          <w:sz w:val="24"/>
          <w:szCs w:val="24"/>
          <w:highlight w:val="none"/>
        </w:rPr>
        <w:t>（3）</w:t>
      </w:r>
      <w:r>
        <w:rPr>
          <w:rFonts w:hint="eastAsia" w:ascii="仿宋" w:hAnsi="仿宋" w:eastAsia="仿宋" w:cs="仿宋"/>
          <w:b w:val="0"/>
          <w:color w:val="auto"/>
          <w:sz w:val="24"/>
          <w:szCs w:val="24"/>
          <w:highlight w:val="none"/>
          <w:lang w:eastAsia="zh-CN"/>
        </w:rPr>
        <w:t>供</w:t>
      </w:r>
      <w:r>
        <w:rPr>
          <w:rFonts w:ascii="仿宋" w:hAnsi="仿宋" w:eastAsia="仿宋" w:cs="仿宋"/>
          <w:b w:val="0"/>
          <w:color w:val="auto"/>
          <w:sz w:val="24"/>
          <w:szCs w:val="24"/>
          <w:highlight w:val="none"/>
        </w:rPr>
        <w:t>应商最终得分为技术标与商务标之和。</w:t>
      </w:r>
      <w:bookmarkEnd w:id="967"/>
    </w:p>
    <w:p w14:paraId="2FBC87E6">
      <w:pPr>
        <w:snapToGrid w:val="0"/>
        <w:spacing w:line="400" w:lineRule="exact"/>
        <w:ind w:firstLine="480" w:firstLineChars="200"/>
        <w:contextualSpacing/>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磋商小组各成员应当独立对每个有效响应的文件进行评价、打分，然后汇总每个供应商每项评分因素的得分，按照《政府采购竞争性磋商采购方式管理暂行办法》（财库〔2014〕214号），磋商小组应当根据综合评分情况，按照评审得分由高到低顺序推荐3名以上成交候选供应商，并编写评审报告。符合本办法第二十一条第三款情形的，可以推荐2家成交候选供应商。评审得分相同的，按照最后报价由低到高的顺序推荐。评审得分且最后报价相同的，按照技术指标优劣顺序推荐。</w:t>
      </w:r>
    </w:p>
    <w:p w14:paraId="0974CE8A">
      <w:pPr>
        <w:snapToGrid w:val="0"/>
        <w:spacing w:line="400" w:lineRule="exact"/>
        <w:ind w:firstLine="480" w:firstLineChars="200"/>
        <w:contextualSpacing/>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（5）采购人授权磋商小组从评审报告提出的成交候选供应商中，按照排序由高到低的原则确定成交供应商。</w:t>
      </w:r>
    </w:p>
    <w:p w14:paraId="54BF7AA8">
      <w:pPr>
        <w:pStyle w:val="2"/>
        <w:snapToGrid w:val="0"/>
        <w:spacing w:line="400" w:lineRule="exact"/>
        <w:ind w:left="6" w:firstLine="480" w:firstLineChars="200"/>
        <w:contextualSpacing/>
        <w:rPr>
          <w:rFonts w:hint="default" w:ascii="仿宋" w:hAnsi="仿宋" w:eastAsia="仿宋" w:cs="仿宋"/>
          <w:b w:val="0"/>
          <w:color w:val="auto"/>
          <w:sz w:val="24"/>
          <w:szCs w:val="24"/>
          <w:highlight w:val="none"/>
        </w:rPr>
      </w:pPr>
      <w:bookmarkStart w:id="968" w:name="_Toc144969120"/>
      <w:r>
        <w:rPr>
          <w:rFonts w:ascii="仿宋" w:hAnsi="仿宋" w:eastAsia="仿宋" w:cs="仿宋"/>
          <w:b w:val="0"/>
          <w:color w:val="auto"/>
          <w:sz w:val="24"/>
          <w:szCs w:val="24"/>
          <w:highlight w:val="none"/>
        </w:rPr>
        <w:t>（6）磋商小组不得将评标情况透露给供应商有关的单位和个人。如有违反评标纪律的情况发生，将依据《中华人民共和国政府采购法》及其他有关法律法规的规定，追究有关当事人的责任。</w:t>
      </w:r>
      <w:bookmarkEnd w:id="968"/>
    </w:p>
    <w:p w14:paraId="3E086D60">
      <w:pPr>
        <w:pStyle w:val="2"/>
        <w:snapToGrid w:val="0"/>
        <w:spacing w:line="400" w:lineRule="exact"/>
        <w:ind w:left="6" w:firstLine="480" w:firstLineChars="200"/>
        <w:contextualSpacing/>
        <w:rPr>
          <w:rFonts w:hint="default" w:ascii="仿宋" w:hAnsi="仿宋" w:eastAsia="仿宋" w:cs="仿宋"/>
          <w:b w:val="0"/>
          <w:color w:val="auto"/>
          <w:sz w:val="24"/>
          <w:szCs w:val="24"/>
          <w:highlight w:val="none"/>
        </w:rPr>
      </w:pPr>
      <w:bookmarkStart w:id="969" w:name="_Toc144969121"/>
      <w:r>
        <w:rPr>
          <w:rFonts w:ascii="仿宋" w:hAnsi="仿宋" w:eastAsia="仿宋" w:cs="仿宋"/>
          <w:b w:val="0"/>
          <w:color w:val="auto"/>
          <w:sz w:val="24"/>
          <w:szCs w:val="24"/>
          <w:highlight w:val="none"/>
        </w:rPr>
        <w:t>（7）本评审方法和标准的解释权属于采购人。</w:t>
      </w:r>
      <w:bookmarkEnd w:id="969"/>
    </w:p>
    <w:p w14:paraId="1496A119">
      <w:pPr>
        <w:snapToGrid w:val="0"/>
        <w:spacing w:line="400" w:lineRule="exact"/>
        <w:ind w:firstLine="480" w:firstLineChars="200"/>
        <w:contextualSpacing/>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注：依据《财政部关于印发〈政府采购竞争性磋商采购方式管理暂行办法〉的通知》（财库〔2014〕214号）补充通知，采用竞争性磋商采购方式采购的政府购买服务项目（含政府和社会资本合作项目），在采购过程中符合要求的供应商（社会资本）只有2家的，竞争性磋商采购活动可以继续进行（本规定是特指：磋商开始时符合资格条件的供应商有三家及以上，磋商过程中因供应商中途退出导致符合条件的供应商只有两家的情况下，采购活动可以继续进行。）。</w:t>
      </w:r>
    </w:p>
    <w:bookmarkEnd w:id="962"/>
    <w:bookmarkEnd w:id="963"/>
    <w:bookmarkEnd w:id="964"/>
    <w:bookmarkEnd w:id="965"/>
    <w:p w14:paraId="4E00EC73">
      <w:pPr>
        <w:rPr>
          <w:rStyle w:val="50"/>
          <w:rFonts w:hint="default" w:ascii="方正小标宋简体" w:hAnsi="黑体" w:eastAsia="方正小标宋简体" w:cs="仿宋"/>
          <w:b w:val="0"/>
          <w:color w:val="auto"/>
          <w:sz w:val="44"/>
          <w:szCs w:val="44"/>
          <w:highlight w:val="none"/>
        </w:rPr>
      </w:pPr>
      <w:bookmarkStart w:id="970" w:name="_Toc144907779"/>
      <w:r>
        <w:rPr>
          <w:rStyle w:val="50"/>
          <w:rFonts w:hint="default" w:ascii="方正小标宋简体" w:hAnsi="黑体" w:eastAsia="方正小标宋简体" w:cs="仿宋"/>
          <w:b w:val="0"/>
          <w:color w:val="auto"/>
          <w:sz w:val="44"/>
          <w:szCs w:val="44"/>
          <w:highlight w:val="none"/>
        </w:rPr>
        <w:br w:type="page"/>
      </w:r>
    </w:p>
    <w:p w14:paraId="6081F056">
      <w:pPr>
        <w:pStyle w:val="48"/>
        <w:spacing w:after="0"/>
        <w:jc w:val="center"/>
        <w:rPr>
          <w:rStyle w:val="50"/>
          <w:rFonts w:hint="default" w:ascii="方正小标宋简体" w:hAnsi="黑体" w:eastAsia="方正小标宋简体" w:cs="仿宋"/>
          <w:b w:val="0"/>
          <w:color w:val="auto"/>
          <w:sz w:val="44"/>
          <w:szCs w:val="44"/>
          <w:highlight w:val="none"/>
        </w:rPr>
      </w:pPr>
      <w:r>
        <w:rPr>
          <w:rStyle w:val="50"/>
          <w:rFonts w:hint="default" w:ascii="方正小标宋简体" w:hAnsi="黑体" w:eastAsia="方正小标宋简体" w:cs="仿宋"/>
          <w:b w:val="0"/>
          <w:color w:val="auto"/>
          <w:sz w:val="44"/>
          <w:szCs w:val="44"/>
          <w:highlight w:val="none"/>
        </w:rPr>
        <w:t>第六章 政府采购合同</w:t>
      </w:r>
      <w:bookmarkEnd w:id="563"/>
      <w:bookmarkEnd w:id="970"/>
    </w:p>
    <w:p w14:paraId="0D6C2896">
      <w:pPr>
        <w:autoSpaceDE w:val="0"/>
        <w:autoSpaceDN w:val="0"/>
        <w:adjustRightInd w:val="0"/>
        <w:spacing w:line="360" w:lineRule="auto"/>
        <w:ind w:left="17" w:firstLine="480" w:firstLineChars="200"/>
        <w:jc w:val="left"/>
        <w:rPr>
          <w:rFonts w:hint="eastAsia" w:ascii="仿宋" w:hAnsi="仿宋" w:eastAsia="仿宋" w:cs="仿宋"/>
          <w:color w:val="000000"/>
          <w:spacing w:val="-17"/>
          <w:kern w:val="0"/>
          <w:sz w:val="24"/>
          <w:szCs w:val="4"/>
          <w:highlight w:val="none"/>
          <w:u w:val="single"/>
        </w:rPr>
      </w:pPr>
      <w:bookmarkStart w:id="971" w:name="_Toc29307"/>
      <w:bookmarkStart w:id="972" w:name="_Toc29341"/>
      <w:bookmarkStart w:id="973" w:name="_Toc20948"/>
      <w:r>
        <w:rPr>
          <w:rFonts w:hint="eastAsia" w:ascii="仿宋" w:hAnsi="仿宋" w:eastAsia="仿宋" w:cs="仿宋"/>
          <w:color w:val="000000"/>
          <w:kern w:val="0"/>
          <w:sz w:val="24"/>
          <w:szCs w:val="4"/>
        </w:rPr>
        <w:t>采购人（甲方）：</w:t>
      </w:r>
      <w:r>
        <w:rPr>
          <w:rFonts w:hint="eastAsia" w:ascii="仿宋" w:hAnsi="仿宋" w:eastAsia="仿宋" w:cs="仿宋"/>
          <w:color w:val="000000"/>
          <w:spacing w:val="-17"/>
          <w:kern w:val="0"/>
          <w:sz w:val="24"/>
          <w:szCs w:val="4"/>
          <w:u w:val="single"/>
          <w:lang w:val="zh-CN"/>
        </w:rPr>
        <w:t>国家煤化工产品质量</w:t>
      </w:r>
      <w:r>
        <w:rPr>
          <w:rFonts w:hint="eastAsia" w:ascii="仿宋" w:hAnsi="仿宋" w:eastAsia="仿宋" w:cs="仿宋"/>
          <w:color w:val="000000"/>
          <w:spacing w:val="-17"/>
          <w:kern w:val="0"/>
          <w:sz w:val="24"/>
          <w:szCs w:val="4"/>
          <w:highlight w:val="none"/>
          <w:u w:val="single"/>
          <w:lang w:val="zh-CN"/>
        </w:rPr>
        <w:t>检验检测中心（安徽）（淮南市产品质量监督检验所）</w:t>
      </w:r>
    </w:p>
    <w:p w14:paraId="57345AD9">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highlight w:val="none"/>
        </w:rPr>
      </w:pPr>
      <w:r>
        <w:rPr>
          <w:rFonts w:hint="eastAsia" w:ascii="仿宋" w:hAnsi="仿宋" w:eastAsia="仿宋" w:cs="仿宋"/>
          <w:color w:val="000000"/>
          <w:kern w:val="0"/>
          <w:sz w:val="24"/>
          <w:szCs w:val="4"/>
          <w:highlight w:val="none"/>
        </w:rPr>
        <w:t>服务人（乙方）：</w:t>
      </w:r>
      <w:r>
        <w:rPr>
          <w:rFonts w:hint="eastAsia" w:ascii="仿宋" w:hAnsi="仿宋" w:eastAsia="仿宋" w:cs="仿宋"/>
          <w:color w:val="000000"/>
          <w:kern w:val="0"/>
          <w:sz w:val="24"/>
          <w:szCs w:val="4"/>
          <w:highlight w:val="none"/>
          <w:u w:val="single"/>
        </w:rPr>
        <w:t xml:space="preserve">                       </w:t>
      </w:r>
    </w:p>
    <w:p w14:paraId="10DF8C48">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highlight w:val="none"/>
          <w:u w:val="single"/>
        </w:rPr>
      </w:pPr>
      <w:r>
        <w:rPr>
          <w:rFonts w:hint="eastAsia" w:ascii="仿宋" w:hAnsi="仿宋" w:eastAsia="仿宋" w:cs="仿宋"/>
          <w:color w:val="000000"/>
          <w:kern w:val="0"/>
          <w:sz w:val="24"/>
          <w:szCs w:val="4"/>
          <w:highlight w:val="none"/>
        </w:rPr>
        <w:t>签订地点：</w:t>
      </w:r>
      <w:r>
        <w:rPr>
          <w:rFonts w:hint="eastAsia" w:ascii="仿宋" w:hAnsi="仿宋" w:eastAsia="仿宋" w:cs="仿宋"/>
          <w:color w:val="000000"/>
          <w:kern w:val="0"/>
          <w:sz w:val="24"/>
          <w:szCs w:val="4"/>
          <w:highlight w:val="none"/>
          <w:u w:val="single"/>
        </w:rPr>
        <w:t xml:space="preserve">                         </w:t>
      </w:r>
    </w:p>
    <w:p w14:paraId="2095A2B9">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highlight w:val="none"/>
          <w:u w:val="single"/>
        </w:rPr>
      </w:pPr>
      <w:r>
        <w:rPr>
          <w:rFonts w:hint="eastAsia" w:ascii="仿宋" w:hAnsi="仿宋" w:eastAsia="仿宋" w:cs="仿宋"/>
          <w:color w:val="000000"/>
          <w:kern w:val="0"/>
          <w:sz w:val="24"/>
          <w:szCs w:val="4"/>
          <w:highlight w:val="none"/>
        </w:rPr>
        <w:t>项目名称：</w:t>
      </w:r>
      <w:r>
        <w:rPr>
          <w:rFonts w:hint="eastAsia" w:ascii="仿宋" w:hAnsi="仿宋" w:eastAsia="仿宋" w:cs="仿宋"/>
          <w:color w:val="000000"/>
          <w:kern w:val="0"/>
          <w:sz w:val="24"/>
          <w:szCs w:val="4"/>
          <w:highlight w:val="none"/>
          <w:u w:val="single"/>
          <w:lang w:val="zh-CN"/>
        </w:rPr>
        <w:t>淮南牛肉汤检验检测中心、检验检测设备更新、食品安全监管基础设施建设项目前期咨询服务</w:t>
      </w:r>
    </w:p>
    <w:p w14:paraId="3488BD9B">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highlight w:val="none"/>
        </w:rPr>
      </w:pPr>
      <w:r>
        <w:rPr>
          <w:rFonts w:hint="eastAsia" w:ascii="仿宋" w:hAnsi="仿宋" w:eastAsia="仿宋" w:cs="仿宋"/>
          <w:color w:val="000000"/>
          <w:kern w:val="0"/>
          <w:sz w:val="24"/>
          <w:szCs w:val="4"/>
          <w:highlight w:val="none"/>
        </w:rPr>
        <w:t>项目编号：</w:t>
      </w:r>
      <w:r>
        <w:rPr>
          <w:rFonts w:hint="eastAsia" w:ascii="仿宋" w:hAnsi="仿宋" w:eastAsia="仿宋" w:cs="仿宋"/>
          <w:color w:val="000000"/>
          <w:kern w:val="0"/>
          <w:sz w:val="24"/>
          <w:szCs w:val="4"/>
          <w:highlight w:val="none"/>
          <w:u w:val="single"/>
          <w:lang w:val="en-US" w:eastAsia="zh-CN"/>
        </w:rPr>
        <w:t>AHTC-20260902</w:t>
      </w:r>
    </w:p>
    <w:p w14:paraId="1E8C5925">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highlight w:val="none"/>
          <w:u w:val="single"/>
          <w:lang w:val="zh-CN"/>
        </w:rPr>
        <w:t>国家煤化工产品质量检验检测中心（安徽）（淮南市产品质量</w:t>
      </w:r>
      <w:r>
        <w:rPr>
          <w:rFonts w:hint="eastAsia" w:ascii="仿宋" w:hAnsi="仿宋" w:eastAsia="仿宋" w:cs="仿宋"/>
          <w:color w:val="000000"/>
          <w:kern w:val="0"/>
          <w:sz w:val="24"/>
          <w:szCs w:val="4"/>
          <w:u w:val="single"/>
          <w:lang w:val="zh-CN"/>
        </w:rPr>
        <w:t>监督检验所）</w:t>
      </w:r>
      <w:r>
        <w:rPr>
          <w:rFonts w:hint="eastAsia" w:ascii="仿宋" w:hAnsi="仿宋" w:eastAsia="仿宋" w:cs="仿宋"/>
          <w:color w:val="000000"/>
          <w:kern w:val="0"/>
          <w:sz w:val="24"/>
          <w:szCs w:val="4"/>
          <w:u w:val="single"/>
        </w:rPr>
        <w:t>（</w:t>
      </w:r>
      <w:r>
        <w:rPr>
          <w:rFonts w:hint="eastAsia" w:ascii="仿宋" w:hAnsi="仿宋" w:eastAsia="仿宋" w:cs="仿宋"/>
          <w:color w:val="000000"/>
          <w:kern w:val="0"/>
          <w:sz w:val="24"/>
          <w:szCs w:val="4"/>
        </w:rPr>
        <w:t>采购人名称，</w:t>
      </w:r>
      <w:r>
        <w:rPr>
          <w:rFonts w:hint="eastAsia" w:ascii="仿宋" w:hAnsi="仿宋" w:eastAsia="仿宋" w:cs="仿宋"/>
          <w:color w:val="000000"/>
          <w:kern w:val="0"/>
          <w:sz w:val="24"/>
          <w:szCs w:val="4"/>
          <w:lang w:val="zh-CN"/>
        </w:rPr>
        <w:t>以下简称：甲方</w:t>
      </w:r>
      <w:r>
        <w:rPr>
          <w:rFonts w:hint="eastAsia" w:ascii="仿宋" w:hAnsi="仿宋" w:eastAsia="仿宋" w:cs="仿宋"/>
          <w:color w:val="000000"/>
          <w:kern w:val="0"/>
          <w:sz w:val="24"/>
          <w:szCs w:val="4"/>
        </w:rPr>
        <w:t>）通过</w:t>
      </w:r>
      <w:r>
        <w:rPr>
          <w:rFonts w:hint="eastAsia" w:ascii="仿宋" w:hAnsi="仿宋" w:eastAsia="仿宋" w:cs="仿宋"/>
          <w:color w:val="000000"/>
          <w:kern w:val="0"/>
          <w:sz w:val="24"/>
          <w:szCs w:val="4"/>
          <w:u w:val="single"/>
        </w:rPr>
        <w:t xml:space="preserve"> </w:t>
      </w:r>
      <w:r>
        <w:rPr>
          <w:rFonts w:hint="eastAsia" w:ascii="仿宋" w:hAnsi="仿宋" w:eastAsia="仿宋" w:cs="仿宋"/>
          <w:color w:val="000000"/>
          <w:kern w:val="0"/>
          <w:sz w:val="24"/>
          <w:szCs w:val="4"/>
          <w:u w:val="single"/>
          <w:lang w:eastAsia="zh-CN"/>
        </w:rPr>
        <w:t>安徽踏川建设咨询有限公司</w:t>
      </w:r>
      <w:r>
        <w:rPr>
          <w:rFonts w:hint="eastAsia" w:ascii="仿宋" w:hAnsi="仿宋" w:eastAsia="仿宋" w:cs="仿宋"/>
          <w:color w:val="000000"/>
          <w:kern w:val="0"/>
          <w:sz w:val="24"/>
          <w:szCs w:val="4"/>
        </w:rPr>
        <w:t>（采购代理机构名称）组织的竞争性磋商采购方式，经磋商小组评定</w:t>
      </w:r>
      <w:r>
        <w:rPr>
          <w:rFonts w:hint="eastAsia" w:ascii="仿宋" w:hAnsi="仿宋" w:eastAsia="仿宋" w:cs="仿宋"/>
          <w:color w:val="000000"/>
          <w:kern w:val="0"/>
          <w:sz w:val="24"/>
          <w:szCs w:val="4"/>
          <w:u w:val="single"/>
        </w:rPr>
        <w:t xml:space="preserve">            </w:t>
      </w:r>
      <w:r>
        <w:rPr>
          <w:rFonts w:hint="eastAsia" w:ascii="仿宋" w:hAnsi="仿宋" w:eastAsia="仿宋" w:cs="仿宋"/>
          <w:color w:val="000000"/>
          <w:kern w:val="0"/>
          <w:sz w:val="24"/>
          <w:szCs w:val="4"/>
        </w:rPr>
        <w:t>（成交供应商名称，</w:t>
      </w:r>
      <w:r>
        <w:rPr>
          <w:rFonts w:hint="eastAsia" w:ascii="仿宋" w:hAnsi="仿宋" w:eastAsia="仿宋" w:cs="仿宋"/>
          <w:color w:val="000000"/>
          <w:kern w:val="0"/>
          <w:sz w:val="24"/>
          <w:szCs w:val="4"/>
          <w:lang w:val="zh-CN"/>
        </w:rPr>
        <w:t>以下简称：乙方</w:t>
      </w:r>
      <w:r>
        <w:rPr>
          <w:rFonts w:hint="eastAsia" w:ascii="仿宋" w:hAnsi="仿宋" w:eastAsia="仿宋" w:cs="仿宋"/>
          <w:color w:val="000000"/>
          <w:kern w:val="0"/>
          <w:sz w:val="24"/>
          <w:szCs w:val="4"/>
        </w:rPr>
        <w:t>）为本项目</w:t>
      </w:r>
      <w:r>
        <w:rPr>
          <w:rFonts w:hint="eastAsia" w:ascii="仿宋" w:hAnsi="仿宋" w:eastAsia="仿宋" w:cs="仿宋"/>
          <w:color w:val="000000"/>
          <w:kern w:val="0"/>
          <w:sz w:val="24"/>
          <w:szCs w:val="4"/>
          <w:u w:val="single"/>
          <w:lang w:val="en-US" w:eastAsia="zh-CN"/>
        </w:rPr>
        <w:t xml:space="preserve">     （包号）</w:t>
      </w:r>
      <w:r>
        <w:rPr>
          <w:rFonts w:hint="eastAsia" w:ascii="仿宋" w:hAnsi="仿宋" w:eastAsia="仿宋" w:cs="仿宋"/>
          <w:color w:val="000000"/>
          <w:kern w:val="0"/>
          <w:sz w:val="24"/>
          <w:szCs w:val="4"/>
        </w:rPr>
        <w:t>成交供应商，现按照采购文件确定的事项签订本合同。</w:t>
      </w:r>
    </w:p>
    <w:p w14:paraId="71694DF3">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lang w:val="zh-CN"/>
        </w:rPr>
      </w:pPr>
      <w:r>
        <w:rPr>
          <w:rFonts w:hint="eastAsia" w:ascii="仿宋" w:hAnsi="仿宋" w:eastAsia="仿宋" w:cs="仿宋"/>
          <w:color w:val="000000"/>
          <w:kern w:val="0"/>
          <w:sz w:val="24"/>
          <w:szCs w:val="4"/>
        </w:rPr>
        <w:t>根据《中华人民共和国民法典》《中华人民共和国政府采购法》等相关法律法规之规定，按照平等、自愿、公平和诚实信用的原则，经甲方和乙方协商一致，约定以下合同条款，以兹共同遵守、全面履行。</w:t>
      </w:r>
    </w:p>
    <w:p w14:paraId="76F2C837">
      <w:pPr>
        <w:autoSpaceDE w:val="0"/>
        <w:autoSpaceDN w:val="0"/>
        <w:adjustRightInd w:val="0"/>
        <w:spacing w:line="360" w:lineRule="auto"/>
        <w:ind w:left="17" w:firstLine="482" w:firstLineChars="200"/>
        <w:jc w:val="left"/>
        <w:rPr>
          <w:rFonts w:hint="eastAsia" w:ascii="仿宋" w:hAnsi="仿宋" w:eastAsia="仿宋" w:cs="仿宋"/>
          <w:b/>
          <w:bCs/>
          <w:color w:val="000000"/>
          <w:kern w:val="0"/>
          <w:sz w:val="24"/>
          <w:szCs w:val="4"/>
          <w:lang w:val="zh-CN"/>
        </w:rPr>
      </w:pPr>
      <w:bookmarkStart w:id="974" w:name="_Toc24059"/>
      <w:bookmarkEnd w:id="974"/>
      <w:bookmarkStart w:id="975" w:name="_Toc2232"/>
      <w:bookmarkEnd w:id="975"/>
      <w:bookmarkStart w:id="976" w:name="_Toc3029"/>
      <w:bookmarkEnd w:id="976"/>
      <w:r>
        <w:rPr>
          <w:rFonts w:hint="eastAsia" w:ascii="仿宋" w:hAnsi="仿宋" w:eastAsia="仿宋" w:cs="仿宋"/>
          <w:b/>
          <w:bCs/>
          <w:color w:val="000000"/>
          <w:kern w:val="0"/>
          <w:sz w:val="24"/>
          <w:szCs w:val="4"/>
          <w:lang w:val="zh-CN"/>
        </w:rPr>
        <w:t>一、合同组成部分</w:t>
      </w:r>
    </w:p>
    <w:p w14:paraId="34AF90A8">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lang w:val="zh-CN"/>
        </w:rPr>
      </w:pPr>
      <w:bookmarkStart w:id="977" w:name="_Toc2918"/>
      <w:bookmarkStart w:id="978" w:name="_Toc18585"/>
      <w:bookmarkStart w:id="979" w:name="_Toc6773"/>
      <w:bookmarkStart w:id="980" w:name="_Toc6311"/>
      <w:bookmarkStart w:id="981" w:name="_Toc21551"/>
      <w:bookmarkStart w:id="982" w:name="_Toc22185"/>
      <w:bookmarkStart w:id="983" w:name="_Toc23292"/>
      <w:bookmarkStart w:id="984" w:name="_Toc21631"/>
      <w:r>
        <w:rPr>
          <w:rFonts w:hint="eastAsia" w:ascii="仿宋" w:hAnsi="仿宋" w:eastAsia="仿宋" w:cs="仿宋"/>
          <w:color w:val="000000"/>
          <w:kern w:val="0"/>
          <w:sz w:val="24"/>
          <w:szCs w:val="4"/>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50BAE116">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lang w:val="zh-CN"/>
        </w:rPr>
      </w:pPr>
      <w:r>
        <w:rPr>
          <w:rFonts w:hint="eastAsia" w:ascii="仿宋" w:hAnsi="仿宋" w:eastAsia="仿宋" w:cs="仿宋"/>
          <w:color w:val="000000"/>
          <w:kern w:val="0"/>
          <w:sz w:val="24"/>
          <w:szCs w:val="4"/>
        </w:rPr>
        <w:t>1、</w:t>
      </w:r>
      <w:r>
        <w:rPr>
          <w:rFonts w:hint="eastAsia" w:ascii="仿宋" w:hAnsi="仿宋" w:eastAsia="仿宋" w:cs="仿宋"/>
          <w:color w:val="000000"/>
          <w:kern w:val="0"/>
          <w:sz w:val="24"/>
          <w:szCs w:val="4"/>
          <w:lang w:val="zh-CN"/>
        </w:rPr>
        <w:t>本合同及其补充合同、变更协议；</w:t>
      </w:r>
    </w:p>
    <w:p w14:paraId="3C5B7FD8">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lang w:val="zh-CN"/>
        </w:rPr>
      </w:pPr>
      <w:r>
        <w:rPr>
          <w:rFonts w:hint="eastAsia" w:ascii="仿宋" w:hAnsi="仿宋" w:eastAsia="仿宋" w:cs="仿宋"/>
          <w:color w:val="000000"/>
          <w:kern w:val="0"/>
          <w:sz w:val="24"/>
          <w:szCs w:val="4"/>
        </w:rPr>
        <w:t>2、成交</w:t>
      </w:r>
      <w:r>
        <w:rPr>
          <w:rFonts w:hint="eastAsia" w:ascii="仿宋" w:hAnsi="仿宋" w:eastAsia="仿宋" w:cs="仿宋"/>
          <w:color w:val="000000"/>
          <w:kern w:val="0"/>
          <w:sz w:val="24"/>
          <w:szCs w:val="4"/>
          <w:lang w:val="zh-CN"/>
        </w:rPr>
        <w:t>通知书；</w:t>
      </w:r>
    </w:p>
    <w:p w14:paraId="227C3DFF">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lang w:val="zh-CN"/>
        </w:rPr>
      </w:pPr>
      <w:r>
        <w:rPr>
          <w:rFonts w:hint="eastAsia" w:ascii="仿宋" w:hAnsi="仿宋" w:eastAsia="仿宋" w:cs="仿宋"/>
          <w:color w:val="000000"/>
          <w:kern w:val="0"/>
          <w:sz w:val="24"/>
          <w:szCs w:val="4"/>
        </w:rPr>
        <w:t>3、磋商响应</w:t>
      </w:r>
      <w:r>
        <w:rPr>
          <w:rFonts w:hint="eastAsia" w:ascii="仿宋" w:hAnsi="仿宋" w:eastAsia="仿宋" w:cs="仿宋"/>
          <w:color w:val="000000"/>
          <w:kern w:val="0"/>
          <w:sz w:val="24"/>
          <w:szCs w:val="4"/>
          <w:lang w:val="zh-CN"/>
        </w:rPr>
        <w:t>文件；</w:t>
      </w:r>
    </w:p>
    <w:p w14:paraId="41FD5970">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lang w:val="zh-CN"/>
        </w:rPr>
      </w:pPr>
      <w:r>
        <w:rPr>
          <w:rFonts w:hint="eastAsia" w:ascii="仿宋" w:hAnsi="仿宋" w:eastAsia="仿宋" w:cs="仿宋"/>
          <w:color w:val="000000"/>
          <w:kern w:val="0"/>
          <w:sz w:val="24"/>
          <w:szCs w:val="4"/>
        </w:rPr>
        <w:t>4、磋商</w:t>
      </w:r>
      <w:r>
        <w:rPr>
          <w:rFonts w:hint="eastAsia" w:ascii="仿宋" w:hAnsi="仿宋" w:eastAsia="仿宋" w:cs="仿宋"/>
          <w:color w:val="000000"/>
          <w:kern w:val="0"/>
          <w:sz w:val="24"/>
          <w:szCs w:val="4"/>
          <w:lang w:val="zh-CN"/>
        </w:rPr>
        <w:t>文件（含澄清或者修改文件）；</w:t>
      </w:r>
    </w:p>
    <w:p w14:paraId="6142B982">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lang w:val="zh-CN"/>
        </w:rPr>
      </w:pPr>
      <w:r>
        <w:rPr>
          <w:rFonts w:hint="eastAsia" w:ascii="仿宋" w:hAnsi="仿宋" w:eastAsia="仿宋" w:cs="仿宋"/>
          <w:color w:val="000000"/>
          <w:kern w:val="0"/>
          <w:sz w:val="24"/>
          <w:szCs w:val="4"/>
        </w:rPr>
        <w:t>5、</w:t>
      </w:r>
      <w:r>
        <w:rPr>
          <w:rFonts w:hint="eastAsia" w:ascii="仿宋" w:hAnsi="仿宋" w:eastAsia="仿宋" w:cs="仿宋"/>
          <w:color w:val="000000"/>
          <w:kern w:val="0"/>
          <w:sz w:val="24"/>
          <w:szCs w:val="4"/>
          <w:lang w:val="zh-CN"/>
        </w:rPr>
        <w:t>其他相关采购文件。</w:t>
      </w:r>
    </w:p>
    <w:bookmarkEnd w:id="977"/>
    <w:bookmarkEnd w:id="978"/>
    <w:bookmarkEnd w:id="979"/>
    <w:bookmarkEnd w:id="980"/>
    <w:bookmarkEnd w:id="981"/>
    <w:bookmarkEnd w:id="982"/>
    <w:bookmarkEnd w:id="983"/>
    <w:bookmarkEnd w:id="984"/>
    <w:p w14:paraId="24DA06BB">
      <w:pPr>
        <w:autoSpaceDE w:val="0"/>
        <w:autoSpaceDN w:val="0"/>
        <w:adjustRightInd w:val="0"/>
        <w:spacing w:line="360" w:lineRule="auto"/>
        <w:ind w:left="17" w:firstLine="482" w:firstLineChars="200"/>
        <w:jc w:val="left"/>
        <w:rPr>
          <w:rFonts w:hint="eastAsia" w:ascii="仿宋" w:hAnsi="仿宋" w:eastAsia="仿宋" w:cs="仿宋"/>
          <w:color w:val="000000"/>
          <w:kern w:val="0"/>
          <w:sz w:val="24"/>
          <w:szCs w:val="4"/>
          <w:lang w:val="zh-CN"/>
        </w:rPr>
      </w:pPr>
      <w:r>
        <w:rPr>
          <w:rFonts w:hint="eastAsia" w:ascii="仿宋" w:hAnsi="仿宋" w:eastAsia="仿宋" w:cs="仿宋"/>
          <w:b/>
          <w:bCs/>
          <w:color w:val="000000"/>
          <w:kern w:val="0"/>
          <w:sz w:val="24"/>
          <w:szCs w:val="4"/>
          <w:lang w:val="zh-CN"/>
        </w:rPr>
        <w:t>二、服务内容</w:t>
      </w:r>
    </w:p>
    <w:p w14:paraId="09C05209">
      <w:pPr>
        <w:autoSpaceDE w:val="0"/>
        <w:autoSpaceDN w:val="0"/>
        <w:adjustRightInd w:val="0"/>
        <w:spacing w:line="360" w:lineRule="auto"/>
        <w:ind w:left="17" w:firstLine="480" w:firstLineChars="200"/>
        <w:jc w:val="left"/>
        <w:rPr>
          <w:rFonts w:hint="eastAsia" w:ascii="仿宋" w:hAnsi="仿宋" w:eastAsia="仿宋" w:cs="仿宋"/>
          <w:b/>
          <w:bCs/>
          <w:color w:val="000000" w:themeColor="text1"/>
          <w:kern w:val="0"/>
          <w:sz w:val="24"/>
          <w:szCs w:val="4"/>
          <w:highlight w:val="none"/>
          <w:lang w:val="zh-CN"/>
          <w14:textFill>
            <w14:solidFill>
              <w14:schemeClr w14:val="tx1"/>
            </w14:solidFill>
          </w14:textFill>
        </w:rPr>
      </w:pPr>
      <w:r>
        <w:rPr>
          <w:rFonts w:hint="eastAsia" w:ascii="仿宋" w:hAnsi="仿宋" w:eastAsia="仿宋" w:cs="仿宋"/>
          <w:color w:val="000000"/>
          <w:kern w:val="0"/>
          <w:sz w:val="24"/>
          <w:szCs w:val="4"/>
          <w:u w:val="single"/>
          <w:lang w:val="en-US" w:eastAsia="zh-CN"/>
        </w:rPr>
        <w:t>提供淮南牛肉汤检验检测中心、检验检测设备更新、食品安全监管基础设施建设项目前期咨询服务，具体以采购文件及供应商的磋商响应文件为准。</w:t>
      </w:r>
    </w:p>
    <w:p w14:paraId="25DD28DD">
      <w:pPr>
        <w:autoSpaceDE w:val="0"/>
        <w:autoSpaceDN w:val="0"/>
        <w:adjustRightInd w:val="0"/>
        <w:spacing w:line="360" w:lineRule="auto"/>
        <w:ind w:left="17" w:firstLine="482" w:firstLineChars="200"/>
        <w:jc w:val="left"/>
        <w:rPr>
          <w:rFonts w:hint="default" w:ascii="仿宋" w:hAnsi="仿宋" w:eastAsia="仿宋" w:cs="仿宋"/>
          <w:b/>
          <w:bCs/>
          <w:color w:val="000000" w:themeColor="text1"/>
          <w:kern w:val="0"/>
          <w:sz w:val="24"/>
          <w:szCs w:val="4"/>
          <w:highlight w:val="none"/>
          <w:lang w:val="en-US" w:eastAsia="zh-CN"/>
          <w14:textFill>
            <w14:solidFill>
              <w14:schemeClr w14:val="tx1"/>
            </w14:solidFill>
          </w14:textFill>
        </w:rPr>
      </w:pPr>
      <w:r>
        <w:rPr>
          <w:rFonts w:hint="eastAsia" w:ascii="仿宋" w:hAnsi="仿宋" w:eastAsia="仿宋" w:cs="仿宋"/>
          <w:b/>
          <w:bCs/>
          <w:color w:val="000000" w:themeColor="text1"/>
          <w:kern w:val="0"/>
          <w:sz w:val="24"/>
          <w:szCs w:val="4"/>
          <w:highlight w:val="none"/>
          <w:lang w:val="zh-CN"/>
          <w14:textFill>
            <w14:solidFill>
              <w14:schemeClr w14:val="tx1"/>
            </w14:solidFill>
          </w14:textFill>
        </w:rPr>
        <w:t>三、价款</w:t>
      </w:r>
      <w:r>
        <w:rPr>
          <w:rFonts w:hint="eastAsia" w:ascii="仿宋" w:hAnsi="仿宋" w:eastAsia="仿宋" w:cs="仿宋"/>
          <w:b/>
          <w:bCs/>
          <w:color w:val="000000" w:themeColor="text1"/>
          <w:kern w:val="0"/>
          <w:sz w:val="24"/>
          <w:szCs w:val="4"/>
          <w:highlight w:val="none"/>
          <w:lang w:val="en-US" w:eastAsia="zh-CN"/>
          <w14:textFill>
            <w14:solidFill>
              <w14:schemeClr w14:val="tx1"/>
            </w14:solidFill>
          </w14:textFill>
        </w:rPr>
        <w:t>及履约保证金</w:t>
      </w:r>
    </w:p>
    <w:p w14:paraId="5787D16F">
      <w:pPr>
        <w:autoSpaceDE w:val="0"/>
        <w:autoSpaceDN w:val="0"/>
        <w:adjustRightInd w:val="0"/>
        <w:spacing w:line="360" w:lineRule="auto"/>
        <w:ind w:left="17" w:firstLine="480" w:firstLineChars="200"/>
        <w:jc w:val="left"/>
        <w:rPr>
          <w:rFonts w:hint="eastAsia" w:ascii="仿宋" w:hAnsi="仿宋" w:eastAsia="仿宋" w:cs="仿宋"/>
          <w:color w:val="000000" w:themeColor="text1"/>
          <w:kern w:val="0"/>
          <w:sz w:val="24"/>
          <w:szCs w:val="4"/>
          <w:highlight w:val="none"/>
          <w14:textFill>
            <w14:solidFill>
              <w14:schemeClr w14:val="tx1"/>
            </w14:solidFill>
          </w14:textFill>
        </w:rPr>
      </w:pPr>
      <w:r>
        <w:rPr>
          <w:rFonts w:hint="eastAsia" w:ascii="仿宋" w:hAnsi="仿宋" w:eastAsia="仿宋" w:cs="仿宋"/>
          <w:color w:val="000000" w:themeColor="text1"/>
          <w:kern w:val="0"/>
          <w:sz w:val="24"/>
          <w:szCs w:val="4"/>
          <w:highlight w:val="none"/>
          <w14:textFill>
            <w14:solidFill>
              <w14:schemeClr w14:val="tx1"/>
            </w14:solidFill>
          </w14:textFill>
        </w:rPr>
        <w:t>本合同总价为：￥</w:t>
      </w:r>
      <w:r>
        <w:rPr>
          <w:rFonts w:hint="eastAsia" w:ascii="仿宋" w:hAnsi="仿宋" w:eastAsia="仿宋" w:cs="仿宋"/>
          <w:color w:val="000000" w:themeColor="text1"/>
          <w:kern w:val="0"/>
          <w:sz w:val="24"/>
          <w:szCs w:val="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szCs w:val="4"/>
          <w:highlight w:val="none"/>
          <w14:textFill>
            <w14:solidFill>
              <w14:schemeClr w14:val="tx1"/>
            </w14:solidFill>
          </w14:textFill>
        </w:rPr>
        <w:t>元（大写：人民币</w:t>
      </w:r>
      <w:r>
        <w:rPr>
          <w:rFonts w:hint="eastAsia" w:ascii="仿宋" w:hAnsi="仿宋" w:eastAsia="仿宋" w:cs="仿宋"/>
          <w:color w:val="000000" w:themeColor="text1"/>
          <w:kern w:val="0"/>
          <w:sz w:val="24"/>
          <w:szCs w:val="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szCs w:val="4"/>
          <w:highlight w:val="none"/>
          <w14:textFill>
            <w14:solidFill>
              <w14:schemeClr w14:val="tx1"/>
            </w14:solidFill>
          </w14:textFill>
        </w:rPr>
        <w:t>元）；</w:t>
      </w:r>
    </w:p>
    <w:p w14:paraId="466E3826">
      <w:pPr>
        <w:autoSpaceDE w:val="0"/>
        <w:autoSpaceDN w:val="0"/>
        <w:adjustRightInd w:val="0"/>
        <w:spacing w:line="360" w:lineRule="auto"/>
        <w:ind w:left="17" w:firstLine="480" w:firstLineChars="200"/>
        <w:jc w:val="left"/>
        <w:rPr>
          <w:rFonts w:hint="eastAsia" w:ascii="仿宋" w:hAnsi="仿宋" w:eastAsia="仿宋" w:cs="仿宋"/>
          <w:b w:val="0"/>
          <w:bCs w:val="0"/>
          <w:color w:val="000000" w:themeColor="text1"/>
          <w:kern w:val="0"/>
          <w:sz w:val="24"/>
          <w:szCs w:val="4"/>
          <w:highlight w:val="none"/>
          <w:u w:val="none"/>
          <w:lang w:eastAsia="zh-CN"/>
          <w14:textFill>
            <w14:solidFill>
              <w14:schemeClr w14:val="tx1"/>
            </w14:solidFill>
          </w14:textFill>
        </w:rPr>
      </w:pPr>
      <w:r>
        <w:rPr>
          <w:rFonts w:hint="eastAsia" w:ascii="仿宋" w:hAnsi="仿宋" w:eastAsia="仿宋" w:cs="仿宋"/>
          <w:b w:val="0"/>
          <w:bCs w:val="0"/>
          <w:color w:val="000000" w:themeColor="text1"/>
          <w:kern w:val="0"/>
          <w:sz w:val="24"/>
          <w:szCs w:val="4"/>
          <w:highlight w:val="none"/>
          <w:lang w:val="en-US" w:eastAsia="zh-CN"/>
          <w14:textFill>
            <w14:solidFill>
              <w14:schemeClr w14:val="tx1"/>
            </w14:solidFill>
          </w14:textFill>
        </w:rPr>
        <w:t>履约保证金：</w:t>
      </w:r>
      <w:r>
        <w:rPr>
          <w:rFonts w:hint="eastAsia" w:ascii="仿宋" w:hAnsi="仿宋" w:eastAsia="仿宋" w:cs="仿宋"/>
          <w:b w:val="0"/>
          <w:bCs w:val="0"/>
          <w:color w:val="000000" w:themeColor="text1"/>
          <w:sz w:val="24"/>
          <w:szCs w:val="24"/>
          <w:highlight w:val="none"/>
          <w14:textFill>
            <w14:solidFill>
              <w14:schemeClr w14:val="tx1"/>
            </w14:solidFill>
          </w14:textFill>
        </w:rPr>
        <w:t>本项目履约保证金为</w:t>
      </w:r>
      <w:r>
        <w:rPr>
          <w:rFonts w:hint="eastAsia" w:ascii="仿宋" w:hAnsi="仿宋" w:eastAsia="仿宋" w:cs="仿宋"/>
          <w:b w:val="0"/>
          <w:bCs w:val="0"/>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b w:val="0"/>
          <w:bCs w:val="0"/>
          <w:color w:val="000000" w:themeColor="text1"/>
          <w:sz w:val="24"/>
          <w:szCs w:val="24"/>
          <w:highlight w:val="none"/>
          <w14:textFill>
            <w14:solidFill>
              <w14:schemeClr w14:val="tx1"/>
            </w14:solidFill>
          </w14:textFill>
        </w:rPr>
        <w:t>元 (人民币),收受人为</w:t>
      </w:r>
      <w:r>
        <w:rPr>
          <w:rFonts w:hint="eastAsia" w:ascii="仿宋" w:hAnsi="仿宋" w:eastAsia="仿宋" w:cs="仿宋"/>
          <w:b w:val="0"/>
          <w:bCs w:val="0"/>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b w:val="0"/>
          <w:bCs w:val="0"/>
          <w:color w:val="000000" w:themeColor="text1"/>
          <w:sz w:val="24"/>
          <w:szCs w:val="24"/>
          <w:highlight w:val="none"/>
          <w14:textFill>
            <w14:solidFill>
              <w14:schemeClr w14:val="tx1"/>
            </w14:solidFill>
          </w14:textFill>
        </w:rPr>
        <w:t>，期限至</w:t>
      </w:r>
      <w:r>
        <w:rPr>
          <w:rFonts w:hint="eastAsia" w:ascii="仿宋" w:hAnsi="仿宋" w:eastAsia="仿宋" w:cs="仿宋"/>
          <w:b w:val="0"/>
          <w:bCs w:val="0"/>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b w:val="0"/>
          <w:bCs w:val="0"/>
          <w:color w:val="000000" w:themeColor="text1"/>
          <w:sz w:val="24"/>
          <w:szCs w:val="24"/>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24"/>
          <w:szCs w:val="24"/>
          <w:highlight w:val="none"/>
          <w:u w:val="none"/>
          <w:lang w:val="zh-CN" w:eastAsia="zh-CN"/>
          <w14:textFill>
            <w14:solidFill>
              <w14:schemeClr w14:val="tx1"/>
            </w14:solidFill>
          </w14:textFill>
        </w:rPr>
        <w:t>合同履行完毕后双方友好协商约定</w:t>
      </w:r>
      <w:r>
        <w:rPr>
          <w:rFonts w:hint="eastAsia" w:ascii="仿宋" w:hAnsi="仿宋" w:eastAsia="仿宋" w:cs="仿宋"/>
          <w:b w:val="0"/>
          <w:bCs w:val="0"/>
          <w:color w:val="000000" w:themeColor="text1"/>
          <w:sz w:val="24"/>
          <w:szCs w:val="24"/>
          <w:highlight w:val="none"/>
          <w:u w:val="none"/>
          <w:lang w:val="en-US" w:eastAsia="zh-CN"/>
          <w14:textFill>
            <w14:solidFill>
              <w14:schemeClr w14:val="tx1"/>
            </w14:solidFill>
          </w14:textFill>
        </w:rPr>
        <w:t>退还</w:t>
      </w:r>
      <w:r>
        <w:rPr>
          <w:rFonts w:hint="eastAsia" w:ascii="仿宋" w:hAnsi="仿宋" w:eastAsia="仿宋" w:cs="仿宋"/>
          <w:b w:val="0"/>
          <w:bCs w:val="0"/>
          <w:color w:val="000000" w:themeColor="text1"/>
          <w:sz w:val="24"/>
          <w:szCs w:val="24"/>
          <w:highlight w:val="none"/>
          <w:u w:val="none"/>
          <w:lang w:val="zh-CN" w:eastAsia="zh-CN"/>
          <w14:textFill>
            <w14:solidFill>
              <w14:schemeClr w14:val="tx1"/>
            </w14:solidFill>
          </w14:textFill>
        </w:rPr>
        <w:t>。</w:t>
      </w:r>
    </w:p>
    <w:p w14:paraId="5D289890">
      <w:pPr>
        <w:numPr>
          <w:ilvl w:val="0"/>
          <w:numId w:val="0"/>
        </w:numPr>
        <w:autoSpaceDE w:val="0"/>
        <w:autoSpaceDN w:val="0"/>
        <w:adjustRightInd w:val="0"/>
        <w:spacing w:line="360" w:lineRule="auto"/>
        <w:ind w:leftChars="200"/>
        <w:jc w:val="left"/>
        <w:rPr>
          <w:rFonts w:hint="eastAsia" w:ascii="仿宋" w:hAnsi="仿宋" w:eastAsia="仿宋" w:cs="仿宋"/>
          <w:color w:val="000000" w:themeColor="text1"/>
          <w:kern w:val="0"/>
          <w:sz w:val="24"/>
          <w:szCs w:val="24"/>
          <w:highlight w:val="none"/>
          <w:u w:val="single"/>
          <w:lang w:val="en-US" w:eastAsia="zh-CN"/>
          <w14:textFill>
            <w14:solidFill>
              <w14:schemeClr w14:val="tx1"/>
            </w14:solidFill>
          </w14:textFill>
        </w:rPr>
      </w:pPr>
      <w:r>
        <w:rPr>
          <w:rFonts w:hint="eastAsia" w:ascii="仿宋" w:hAnsi="仿宋" w:eastAsia="仿宋" w:cs="仿宋"/>
          <w:b/>
          <w:bCs/>
          <w:color w:val="000000" w:themeColor="text1"/>
          <w:kern w:val="0"/>
          <w:sz w:val="24"/>
          <w:szCs w:val="4"/>
          <w:highlight w:val="none"/>
          <w:lang w:val="en-US" w:eastAsia="zh-CN"/>
          <w14:textFill>
            <w14:solidFill>
              <w14:schemeClr w14:val="tx1"/>
            </w14:solidFill>
          </w14:textFill>
        </w:rPr>
        <w:t>四、</w:t>
      </w:r>
      <w:r>
        <w:rPr>
          <w:rFonts w:hint="eastAsia" w:ascii="仿宋" w:hAnsi="仿宋" w:eastAsia="仿宋" w:cs="仿宋"/>
          <w:b/>
          <w:bCs/>
          <w:color w:val="000000" w:themeColor="text1"/>
          <w:kern w:val="0"/>
          <w:sz w:val="24"/>
          <w:szCs w:val="4"/>
          <w:highlight w:val="none"/>
          <w:lang w:val="zh-CN"/>
          <w14:textFill>
            <w14:solidFill>
              <w14:schemeClr w14:val="tx1"/>
            </w14:solidFill>
          </w14:textFill>
        </w:rPr>
        <w:t>付款方式</w:t>
      </w:r>
      <w:r>
        <w:rPr>
          <w:rFonts w:hint="eastAsia" w:ascii="仿宋" w:hAnsi="仿宋" w:eastAsia="仿宋" w:cs="仿宋"/>
          <w:color w:val="000000" w:themeColor="text1"/>
          <w:kern w:val="0"/>
          <w:sz w:val="24"/>
          <w:szCs w:val="4"/>
          <w:highlight w:val="none"/>
          <w:lang w:val="zh-CN"/>
          <w14:textFill>
            <w14:solidFill>
              <w14:schemeClr w14:val="tx1"/>
            </w14:solidFill>
          </w14:textFill>
        </w:rPr>
        <w:t>：</w:t>
      </w:r>
      <w:r>
        <w:rPr>
          <w:rFonts w:hint="eastAsia" w:ascii="仿宋" w:hAnsi="仿宋" w:eastAsia="仿宋" w:cs="仿宋"/>
          <w:b w:val="0"/>
          <w:bCs w:val="0"/>
          <w:color w:val="000000" w:themeColor="text1"/>
          <w:sz w:val="24"/>
          <w:szCs w:val="24"/>
          <w:highlight w:val="yellow"/>
          <w:lang w:val="en-US" w:eastAsia="zh-CN"/>
          <w14:textFill>
            <w14:solidFill>
              <w14:schemeClr w14:val="tx1"/>
            </w14:solidFill>
          </w14:textFill>
        </w:rPr>
        <w:t>评审结束支付</w:t>
      </w:r>
      <w:r>
        <w:rPr>
          <w:rFonts w:hint="eastAsia" w:ascii="仿宋" w:hAnsi="仿宋" w:eastAsia="仿宋" w:cs="仿宋"/>
          <w:b w:val="0"/>
          <w:bCs w:val="0"/>
          <w:color w:val="000000" w:themeColor="text1"/>
          <w:sz w:val="24"/>
          <w:szCs w:val="24"/>
          <w:highlight w:val="yellow"/>
          <w:lang w:eastAsia="zh-CN"/>
          <w14:textFill>
            <w14:solidFill>
              <w14:schemeClr w14:val="tx1"/>
            </w14:solidFill>
          </w14:textFill>
        </w:rPr>
        <w:t>至合同金额的80%，</w:t>
      </w:r>
      <w:r>
        <w:rPr>
          <w:rFonts w:hint="eastAsia" w:ascii="仿宋" w:hAnsi="仿宋" w:eastAsia="仿宋" w:cs="仿宋"/>
          <w:b w:val="0"/>
          <w:bCs w:val="0"/>
          <w:color w:val="000000" w:themeColor="text1"/>
          <w:sz w:val="24"/>
          <w:szCs w:val="24"/>
          <w:highlight w:val="yellow"/>
          <w:lang w:val="en-US" w:eastAsia="zh-CN"/>
          <w14:textFill>
            <w14:solidFill>
              <w14:schemeClr w14:val="tx1"/>
            </w14:solidFill>
          </w14:textFill>
        </w:rPr>
        <w:t>取得批复</w:t>
      </w:r>
      <w:r>
        <w:rPr>
          <w:rFonts w:hint="eastAsia" w:ascii="仿宋" w:hAnsi="仿宋" w:eastAsia="仿宋" w:cs="仿宋"/>
          <w:b w:val="0"/>
          <w:bCs w:val="0"/>
          <w:color w:val="000000" w:themeColor="text1"/>
          <w:sz w:val="24"/>
          <w:szCs w:val="24"/>
          <w:highlight w:val="yellow"/>
          <w:lang w:eastAsia="zh-CN"/>
          <w14:textFill>
            <w14:solidFill>
              <w14:schemeClr w14:val="tx1"/>
            </w14:solidFill>
          </w14:textFill>
        </w:rPr>
        <w:t>后支付至合同价款100% 。</w:t>
      </w:r>
    </w:p>
    <w:p w14:paraId="053932B1">
      <w:pPr>
        <w:numPr>
          <w:ilvl w:val="0"/>
          <w:numId w:val="0"/>
        </w:numPr>
        <w:tabs>
          <w:tab w:val="center" w:pos="4873"/>
        </w:tabs>
        <w:autoSpaceDE w:val="0"/>
        <w:autoSpaceDN w:val="0"/>
        <w:adjustRightInd w:val="0"/>
        <w:spacing w:line="360" w:lineRule="auto"/>
        <w:ind w:leftChars="200"/>
        <w:jc w:val="left"/>
        <w:rPr>
          <w:rFonts w:hint="default" w:ascii="仿宋" w:hAnsi="仿宋" w:eastAsia="仿宋" w:cs="仿宋"/>
          <w:color w:val="auto"/>
          <w:kern w:val="0"/>
          <w:sz w:val="24"/>
          <w:szCs w:val="4"/>
          <w:highlight w:val="yellow"/>
          <w:lang w:val="en-US" w:eastAsia="zh-CN"/>
        </w:rPr>
      </w:pPr>
      <w:r>
        <w:rPr>
          <w:rFonts w:hint="eastAsia" w:ascii="仿宋" w:hAnsi="仿宋" w:eastAsia="仿宋" w:cs="仿宋"/>
          <w:b/>
          <w:bCs/>
          <w:color w:val="auto"/>
          <w:kern w:val="0"/>
          <w:sz w:val="24"/>
          <w:szCs w:val="4"/>
          <w:lang w:val="zh-CN"/>
        </w:rPr>
        <w:t>五、合同</w:t>
      </w:r>
      <w:r>
        <w:rPr>
          <w:rFonts w:hint="eastAsia" w:ascii="仿宋" w:hAnsi="仿宋" w:eastAsia="仿宋" w:cs="仿宋"/>
          <w:b/>
          <w:bCs/>
          <w:color w:val="auto"/>
          <w:kern w:val="0"/>
          <w:sz w:val="24"/>
          <w:szCs w:val="4"/>
          <w:highlight w:val="none"/>
          <w:lang w:val="zh-CN"/>
        </w:rPr>
        <w:t>履行期限</w:t>
      </w:r>
      <w:r>
        <w:rPr>
          <w:rFonts w:hint="eastAsia" w:ascii="仿宋" w:hAnsi="仿宋" w:eastAsia="仿宋" w:cs="仿宋"/>
          <w:color w:val="auto"/>
          <w:kern w:val="0"/>
          <w:sz w:val="24"/>
          <w:szCs w:val="4"/>
          <w:highlight w:val="none"/>
          <w:lang w:val="zh-CN"/>
        </w:rPr>
        <w:t>：</w:t>
      </w:r>
      <w:r>
        <w:rPr>
          <w:rFonts w:hint="eastAsia" w:ascii="仿宋" w:hAnsi="仿宋" w:eastAsia="仿宋" w:cs="仿宋"/>
          <w:color w:val="auto"/>
          <w:kern w:val="0"/>
          <w:sz w:val="24"/>
          <w:szCs w:val="4"/>
          <w:highlight w:val="none"/>
          <w:lang w:val="en-US" w:eastAsia="zh-CN"/>
        </w:rPr>
        <w:t>180日。</w:t>
      </w:r>
      <w:r>
        <w:rPr>
          <w:rFonts w:hint="eastAsia" w:ascii="仿宋" w:hAnsi="仿宋" w:eastAsia="仿宋" w:cs="仿宋"/>
          <w:color w:val="auto"/>
          <w:kern w:val="0"/>
          <w:sz w:val="24"/>
          <w:szCs w:val="4"/>
          <w:highlight w:val="none"/>
          <w:u w:val="single"/>
          <w:lang w:val="en-US" w:eastAsia="zh-CN"/>
        </w:rPr>
        <w:t xml:space="preserve">   </w:t>
      </w:r>
      <w:r>
        <w:rPr>
          <w:rFonts w:hint="eastAsia" w:ascii="仿宋" w:hAnsi="仿宋" w:eastAsia="仿宋" w:cs="仿宋"/>
          <w:color w:val="auto"/>
          <w:kern w:val="0"/>
          <w:sz w:val="24"/>
          <w:szCs w:val="4"/>
          <w:highlight w:val="none"/>
          <w:lang w:val="en-US" w:eastAsia="zh-CN"/>
        </w:rPr>
        <w:t>年</w:t>
      </w:r>
      <w:r>
        <w:rPr>
          <w:rFonts w:hint="eastAsia" w:ascii="仿宋" w:hAnsi="仿宋" w:eastAsia="仿宋" w:cs="仿宋"/>
          <w:color w:val="auto"/>
          <w:kern w:val="0"/>
          <w:sz w:val="24"/>
          <w:szCs w:val="4"/>
          <w:highlight w:val="none"/>
          <w:u w:val="single"/>
          <w:lang w:val="en-US" w:eastAsia="zh-CN"/>
        </w:rPr>
        <w:t xml:space="preserve">  </w:t>
      </w:r>
      <w:r>
        <w:rPr>
          <w:rFonts w:hint="eastAsia" w:ascii="仿宋" w:hAnsi="仿宋" w:eastAsia="仿宋" w:cs="仿宋"/>
          <w:color w:val="auto"/>
          <w:kern w:val="0"/>
          <w:sz w:val="24"/>
          <w:szCs w:val="4"/>
          <w:highlight w:val="none"/>
          <w:lang w:val="en-US" w:eastAsia="zh-CN"/>
        </w:rPr>
        <w:t>月</w:t>
      </w:r>
      <w:r>
        <w:rPr>
          <w:rFonts w:hint="eastAsia" w:ascii="仿宋" w:hAnsi="仿宋" w:eastAsia="仿宋" w:cs="仿宋"/>
          <w:color w:val="auto"/>
          <w:kern w:val="0"/>
          <w:sz w:val="24"/>
          <w:szCs w:val="4"/>
          <w:highlight w:val="none"/>
          <w:u w:val="single"/>
          <w:lang w:val="en-US" w:eastAsia="zh-CN"/>
        </w:rPr>
        <w:t xml:space="preserve">  </w:t>
      </w:r>
      <w:r>
        <w:rPr>
          <w:rFonts w:hint="eastAsia" w:ascii="仿宋" w:hAnsi="仿宋" w:eastAsia="仿宋" w:cs="仿宋"/>
          <w:color w:val="auto"/>
          <w:kern w:val="0"/>
          <w:sz w:val="24"/>
          <w:szCs w:val="4"/>
          <w:highlight w:val="none"/>
          <w:lang w:val="en-US" w:eastAsia="zh-CN"/>
        </w:rPr>
        <w:t>日</w:t>
      </w:r>
      <w:r>
        <w:rPr>
          <w:rFonts w:hint="eastAsia" w:ascii="仿宋" w:hAnsi="仿宋" w:eastAsia="仿宋" w:cs="仿宋"/>
          <w:color w:val="auto"/>
          <w:kern w:val="0"/>
          <w:sz w:val="24"/>
          <w:szCs w:val="4"/>
          <w:highlight w:val="none"/>
          <w:lang w:val="en-US" w:eastAsia="zh-CN"/>
        </w:rPr>
        <w:tab/>
      </w:r>
      <w:r>
        <w:rPr>
          <w:rFonts w:hint="eastAsia" w:ascii="仿宋" w:hAnsi="仿宋" w:eastAsia="仿宋" w:cs="仿宋"/>
          <w:color w:val="auto"/>
          <w:kern w:val="0"/>
          <w:sz w:val="24"/>
          <w:szCs w:val="4"/>
          <w:highlight w:val="none"/>
          <w:lang w:val="en-US" w:eastAsia="zh-CN"/>
        </w:rPr>
        <w:t>至</w:t>
      </w:r>
      <w:r>
        <w:rPr>
          <w:rFonts w:hint="eastAsia" w:ascii="仿宋" w:hAnsi="仿宋" w:eastAsia="仿宋" w:cs="仿宋"/>
          <w:color w:val="auto"/>
          <w:kern w:val="0"/>
          <w:sz w:val="24"/>
          <w:szCs w:val="4"/>
          <w:highlight w:val="none"/>
          <w:u w:val="single"/>
          <w:lang w:val="en-US" w:eastAsia="zh-CN"/>
        </w:rPr>
        <w:t xml:space="preserve">   </w:t>
      </w:r>
      <w:r>
        <w:rPr>
          <w:rFonts w:hint="eastAsia" w:ascii="仿宋" w:hAnsi="仿宋" w:eastAsia="仿宋" w:cs="仿宋"/>
          <w:color w:val="auto"/>
          <w:kern w:val="0"/>
          <w:sz w:val="24"/>
          <w:szCs w:val="4"/>
          <w:highlight w:val="none"/>
          <w:lang w:val="en-US" w:eastAsia="zh-CN"/>
        </w:rPr>
        <w:t>年</w:t>
      </w:r>
      <w:r>
        <w:rPr>
          <w:rFonts w:hint="eastAsia" w:ascii="仿宋" w:hAnsi="仿宋" w:eastAsia="仿宋" w:cs="仿宋"/>
          <w:color w:val="auto"/>
          <w:kern w:val="0"/>
          <w:sz w:val="24"/>
          <w:szCs w:val="4"/>
          <w:highlight w:val="none"/>
          <w:u w:val="single"/>
          <w:lang w:val="en-US" w:eastAsia="zh-CN"/>
        </w:rPr>
        <w:t xml:space="preserve">  </w:t>
      </w:r>
      <w:r>
        <w:rPr>
          <w:rFonts w:hint="eastAsia" w:ascii="仿宋" w:hAnsi="仿宋" w:eastAsia="仿宋" w:cs="仿宋"/>
          <w:color w:val="auto"/>
          <w:kern w:val="0"/>
          <w:sz w:val="24"/>
          <w:szCs w:val="4"/>
          <w:highlight w:val="none"/>
          <w:lang w:val="en-US" w:eastAsia="zh-CN"/>
        </w:rPr>
        <w:t>月</w:t>
      </w:r>
      <w:r>
        <w:rPr>
          <w:rFonts w:hint="eastAsia" w:ascii="仿宋" w:hAnsi="仿宋" w:eastAsia="仿宋" w:cs="仿宋"/>
          <w:color w:val="auto"/>
          <w:kern w:val="0"/>
          <w:sz w:val="24"/>
          <w:szCs w:val="4"/>
          <w:highlight w:val="none"/>
          <w:u w:val="single"/>
          <w:lang w:val="en-US" w:eastAsia="zh-CN"/>
        </w:rPr>
        <w:t xml:space="preserve">  </w:t>
      </w:r>
      <w:r>
        <w:rPr>
          <w:rFonts w:hint="eastAsia" w:ascii="仿宋" w:hAnsi="仿宋" w:eastAsia="仿宋" w:cs="仿宋"/>
          <w:color w:val="auto"/>
          <w:kern w:val="0"/>
          <w:sz w:val="24"/>
          <w:szCs w:val="4"/>
          <w:highlight w:val="none"/>
          <w:lang w:val="en-US" w:eastAsia="zh-CN"/>
        </w:rPr>
        <w:t>日。</w:t>
      </w:r>
    </w:p>
    <w:p w14:paraId="7D1DC6D7">
      <w:pPr>
        <w:autoSpaceDE w:val="0"/>
        <w:autoSpaceDN w:val="0"/>
        <w:adjustRightInd w:val="0"/>
        <w:spacing w:line="360" w:lineRule="auto"/>
        <w:ind w:left="17" w:firstLine="482" w:firstLineChars="200"/>
        <w:jc w:val="left"/>
        <w:rPr>
          <w:rFonts w:hint="eastAsia" w:ascii="仿宋" w:hAnsi="仿宋" w:eastAsia="仿宋" w:cs="仿宋"/>
          <w:color w:val="auto"/>
          <w:kern w:val="0"/>
          <w:sz w:val="24"/>
          <w:szCs w:val="4"/>
          <w:lang w:val="zh-CN"/>
        </w:rPr>
      </w:pPr>
      <w:r>
        <w:rPr>
          <w:rFonts w:hint="eastAsia" w:ascii="仿宋" w:hAnsi="仿宋" w:eastAsia="仿宋" w:cs="仿宋"/>
          <w:b/>
          <w:bCs/>
          <w:color w:val="auto"/>
          <w:kern w:val="0"/>
          <w:sz w:val="24"/>
          <w:szCs w:val="4"/>
          <w:lang w:val="zh-CN"/>
        </w:rPr>
        <w:t>六、违约责任</w:t>
      </w:r>
    </w:p>
    <w:p w14:paraId="6DF89814">
      <w:pPr>
        <w:autoSpaceDE w:val="0"/>
        <w:autoSpaceDN w:val="0"/>
        <w:adjustRightInd w:val="0"/>
        <w:spacing w:line="360" w:lineRule="auto"/>
        <w:ind w:left="17" w:firstLine="480" w:firstLineChars="200"/>
        <w:jc w:val="left"/>
        <w:rPr>
          <w:rFonts w:hint="eastAsia" w:ascii="仿宋" w:hAnsi="仿宋" w:eastAsia="仿宋" w:cs="仿宋"/>
          <w:color w:val="auto"/>
          <w:kern w:val="0"/>
          <w:sz w:val="24"/>
          <w:szCs w:val="4"/>
        </w:rPr>
      </w:pPr>
      <w:r>
        <w:rPr>
          <w:rFonts w:hint="eastAsia" w:ascii="仿宋" w:hAnsi="仿宋" w:eastAsia="仿宋" w:cs="仿宋"/>
          <w:color w:val="auto"/>
          <w:kern w:val="0"/>
          <w:sz w:val="24"/>
          <w:szCs w:val="4"/>
        </w:rPr>
        <w:t>1、除不可抗力外，如果乙方没有按照本合同约定的期限、地点和方式履行，那么甲方可要求乙方支付违约金，违约金按每迟延履行一日的应提供而未提供服务价格的</w:t>
      </w:r>
      <w:r>
        <w:rPr>
          <w:rFonts w:hint="eastAsia" w:ascii="仿宋" w:hAnsi="仿宋" w:eastAsia="仿宋" w:cs="仿宋"/>
          <w:color w:val="auto"/>
          <w:kern w:val="0"/>
          <w:sz w:val="24"/>
          <w:szCs w:val="4"/>
          <w:u w:val="single"/>
        </w:rPr>
        <w:t xml:space="preserve"> </w:t>
      </w:r>
      <w:r>
        <w:rPr>
          <w:rFonts w:hint="eastAsia" w:ascii="仿宋" w:hAnsi="仿宋" w:eastAsia="仿宋" w:cs="仿宋"/>
          <w:color w:val="auto"/>
          <w:kern w:val="0"/>
          <w:sz w:val="24"/>
          <w:szCs w:val="4"/>
          <w:u w:val="single"/>
          <w:lang w:val="en-US" w:eastAsia="zh-CN"/>
        </w:rPr>
        <w:t>0.5</w:t>
      </w:r>
      <w:r>
        <w:rPr>
          <w:rFonts w:hint="eastAsia" w:ascii="仿宋" w:hAnsi="仿宋" w:eastAsia="仿宋" w:cs="仿宋"/>
          <w:color w:val="auto"/>
          <w:kern w:val="0"/>
          <w:sz w:val="24"/>
          <w:szCs w:val="4"/>
          <w:u w:val="single"/>
        </w:rPr>
        <w:t xml:space="preserve"> %</w:t>
      </w:r>
      <w:r>
        <w:rPr>
          <w:rFonts w:hint="eastAsia" w:ascii="仿宋" w:hAnsi="仿宋" w:eastAsia="仿宋" w:cs="仿宋"/>
          <w:color w:val="auto"/>
          <w:kern w:val="0"/>
          <w:sz w:val="24"/>
          <w:szCs w:val="4"/>
        </w:rPr>
        <w:t>计算，最高限额为本合同总价的</w:t>
      </w:r>
      <w:r>
        <w:rPr>
          <w:rFonts w:hint="eastAsia" w:ascii="仿宋" w:hAnsi="仿宋" w:eastAsia="仿宋" w:cs="仿宋"/>
          <w:color w:val="auto"/>
          <w:kern w:val="0"/>
          <w:sz w:val="24"/>
          <w:szCs w:val="4"/>
          <w:u w:val="single"/>
        </w:rPr>
        <w:t xml:space="preserve"> </w:t>
      </w:r>
      <w:r>
        <w:rPr>
          <w:rFonts w:hint="eastAsia" w:ascii="仿宋" w:hAnsi="仿宋" w:eastAsia="仿宋" w:cs="仿宋"/>
          <w:color w:val="auto"/>
          <w:kern w:val="0"/>
          <w:sz w:val="24"/>
          <w:szCs w:val="4"/>
          <w:u w:val="single"/>
          <w:lang w:val="en-US" w:eastAsia="zh-CN"/>
        </w:rPr>
        <w:t xml:space="preserve"> 5</w:t>
      </w:r>
      <w:r>
        <w:rPr>
          <w:rFonts w:hint="eastAsia" w:ascii="仿宋" w:hAnsi="仿宋" w:eastAsia="仿宋" w:cs="仿宋"/>
          <w:color w:val="auto"/>
          <w:kern w:val="0"/>
          <w:sz w:val="24"/>
          <w:szCs w:val="4"/>
          <w:u w:val="single"/>
        </w:rPr>
        <w:t xml:space="preserve"> %</w:t>
      </w:r>
      <w:r>
        <w:rPr>
          <w:rFonts w:hint="eastAsia" w:ascii="仿宋" w:hAnsi="仿宋" w:eastAsia="仿宋" w:cs="仿宋"/>
          <w:color w:val="auto"/>
          <w:kern w:val="0"/>
          <w:sz w:val="24"/>
          <w:szCs w:val="4"/>
        </w:rPr>
        <w:t>；迟延履行的违约金计算数额达到前述最高限额之日起，甲方有权在要求乙方支付违约金的同时，书面通知乙方解除本合同；</w:t>
      </w:r>
    </w:p>
    <w:p w14:paraId="2DFD98A1">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auto"/>
          <w:kern w:val="0"/>
          <w:sz w:val="24"/>
          <w:szCs w:val="4"/>
        </w:rPr>
        <w:t>2、除不可抗力外，如果甲方没有按照本合同约定的付款方式付款，那么乙方可要求甲方支付违约金，违约金按每迟延付款一日的应付而未付款的</w:t>
      </w:r>
      <w:r>
        <w:rPr>
          <w:rFonts w:hint="eastAsia" w:ascii="仿宋" w:hAnsi="仿宋" w:eastAsia="仿宋" w:cs="仿宋"/>
          <w:color w:val="auto"/>
          <w:kern w:val="0"/>
          <w:sz w:val="24"/>
          <w:szCs w:val="4"/>
          <w:u w:val="single"/>
        </w:rPr>
        <w:t xml:space="preserve">  </w:t>
      </w:r>
      <w:r>
        <w:rPr>
          <w:rFonts w:hint="eastAsia" w:ascii="仿宋" w:hAnsi="仿宋" w:eastAsia="仿宋" w:cs="仿宋"/>
          <w:color w:val="auto"/>
          <w:kern w:val="0"/>
          <w:sz w:val="24"/>
          <w:szCs w:val="4"/>
          <w:u w:val="single"/>
          <w:lang w:val="en-US" w:eastAsia="zh-CN"/>
        </w:rPr>
        <w:t>0.5</w:t>
      </w:r>
      <w:r>
        <w:rPr>
          <w:rFonts w:hint="eastAsia" w:ascii="仿宋" w:hAnsi="仿宋" w:eastAsia="仿宋" w:cs="仿宋"/>
          <w:color w:val="auto"/>
          <w:kern w:val="0"/>
          <w:sz w:val="24"/>
          <w:szCs w:val="4"/>
          <w:u w:val="single"/>
        </w:rPr>
        <w:t xml:space="preserve"> %</w:t>
      </w:r>
      <w:r>
        <w:rPr>
          <w:rFonts w:hint="eastAsia" w:ascii="仿宋" w:hAnsi="仿宋" w:eastAsia="仿宋" w:cs="仿宋"/>
          <w:color w:val="auto"/>
          <w:kern w:val="0"/>
          <w:sz w:val="24"/>
          <w:szCs w:val="4"/>
        </w:rPr>
        <w:t>计算，最高限额为本合同总价的</w:t>
      </w:r>
      <w:r>
        <w:rPr>
          <w:rFonts w:hint="eastAsia" w:ascii="仿宋" w:hAnsi="仿宋" w:eastAsia="仿宋" w:cs="仿宋"/>
          <w:color w:val="auto"/>
          <w:kern w:val="0"/>
          <w:sz w:val="24"/>
          <w:szCs w:val="4"/>
          <w:u w:val="single"/>
        </w:rPr>
        <w:t xml:space="preserve"> </w:t>
      </w:r>
      <w:r>
        <w:rPr>
          <w:rFonts w:hint="eastAsia" w:ascii="仿宋" w:hAnsi="仿宋" w:eastAsia="仿宋" w:cs="仿宋"/>
          <w:color w:val="auto"/>
          <w:kern w:val="0"/>
          <w:sz w:val="24"/>
          <w:szCs w:val="4"/>
          <w:u w:val="single"/>
          <w:lang w:val="en-US" w:eastAsia="zh-CN"/>
        </w:rPr>
        <w:t xml:space="preserve"> 5</w:t>
      </w:r>
      <w:r>
        <w:rPr>
          <w:rFonts w:hint="eastAsia" w:ascii="仿宋" w:hAnsi="仿宋" w:eastAsia="仿宋" w:cs="仿宋"/>
          <w:color w:val="auto"/>
          <w:kern w:val="0"/>
          <w:sz w:val="24"/>
          <w:szCs w:val="4"/>
          <w:u w:val="single"/>
        </w:rPr>
        <w:t xml:space="preserve"> %</w:t>
      </w:r>
      <w:r>
        <w:rPr>
          <w:rFonts w:hint="eastAsia" w:ascii="仿宋" w:hAnsi="仿宋" w:eastAsia="仿宋" w:cs="仿宋"/>
          <w:color w:val="auto"/>
          <w:kern w:val="0"/>
          <w:sz w:val="24"/>
          <w:szCs w:val="4"/>
        </w:rPr>
        <w:t>；迟延付款的违约金计算数额达到前述最高限额之日起，</w:t>
      </w:r>
      <w:r>
        <w:rPr>
          <w:rFonts w:hint="eastAsia" w:ascii="仿宋" w:hAnsi="仿宋" w:eastAsia="仿宋" w:cs="仿宋"/>
          <w:color w:val="000000"/>
          <w:kern w:val="0"/>
          <w:sz w:val="24"/>
          <w:szCs w:val="4"/>
        </w:rPr>
        <w:t>乙方有权在要求甲方支付违约金的同时，书面通知甲方解除本合同；</w:t>
      </w:r>
    </w:p>
    <w:p w14:paraId="7D2E0D13">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477010C">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4、任何一方按照前述约定要求违约方支付违约金的同时，仍有权要求违约方继续履行合同、采取补救措施，并有权按照实际损失情况要求违约方赔偿损失；任何一方按照前述约定要求解除本合同的同时，仍有权要求违约方支付违约金和按照实际损失情况要求违约方赔偿损失；且守约方行使的任何权利救济方式均不视为其放弃了其他法定或者约定的权利救济方式；</w:t>
      </w:r>
    </w:p>
    <w:p w14:paraId="7E88563C">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6D6C90A">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6、如果出现政府采购监督管理部门在处理投诉事项期间，书面通知甲方暂停采购活动的情形，或者询问或质疑事项可能影响中标结果的，导致甲方中止履行合同的情形，均不视为甲方违约。</w:t>
      </w:r>
    </w:p>
    <w:p w14:paraId="08B07CDD">
      <w:pPr>
        <w:autoSpaceDE w:val="0"/>
        <w:autoSpaceDN w:val="0"/>
        <w:adjustRightInd w:val="0"/>
        <w:spacing w:line="360" w:lineRule="auto"/>
        <w:ind w:left="17" w:firstLine="482" w:firstLineChars="200"/>
        <w:jc w:val="left"/>
        <w:rPr>
          <w:rFonts w:hint="eastAsia" w:ascii="仿宋" w:hAnsi="仿宋" w:eastAsia="仿宋" w:cs="仿宋"/>
          <w:b/>
          <w:bCs/>
          <w:color w:val="000000"/>
          <w:kern w:val="0"/>
          <w:sz w:val="24"/>
          <w:szCs w:val="4"/>
          <w:lang w:val="zh-CN"/>
        </w:rPr>
      </w:pPr>
      <w:r>
        <w:rPr>
          <w:rFonts w:hint="eastAsia" w:ascii="仿宋" w:hAnsi="仿宋" w:eastAsia="仿宋" w:cs="仿宋"/>
          <w:b/>
          <w:bCs/>
          <w:color w:val="000000"/>
          <w:kern w:val="0"/>
          <w:sz w:val="24"/>
          <w:szCs w:val="4"/>
          <w:lang w:val="zh-CN"/>
        </w:rPr>
        <w:t>七、合同解除</w:t>
      </w:r>
    </w:p>
    <w:p w14:paraId="1934A5A3">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1、甲乙双方经协商一致可以解除合同；</w:t>
      </w:r>
    </w:p>
    <w:p w14:paraId="3A1FAA7A">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2、乙方有下列情形之一的，甲方有权解除合同；</w:t>
      </w:r>
    </w:p>
    <w:p w14:paraId="0F69855A">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（1）乙方提供的服务不符合技术标准的；</w:t>
      </w:r>
    </w:p>
    <w:p w14:paraId="4F8FB438">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（2）乙方不能在合同约定的期限内提供服务的；</w:t>
      </w:r>
    </w:p>
    <w:p w14:paraId="5DB7C581">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（3）乙方未经甲方书面同意而将本项目转让给第三方的；</w:t>
      </w:r>
    </w:p>
    <w:p w14:paraId="02F24F02">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3、甲方有下列情形之一的，乙方有权解除合同；</w:t>
      </w:r>
    </w:p>
    <w:p w14:paraId="6ECE64F0">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（1）甲方拒不依约支付项目款项的；</w:t>
      </w:r>
    </w:p>
    <w:p w14:paraId="7CF32F5C">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（2）甲方拒不接受乙方服务；</w:t>
      </w:r>
    </w:p>
    <w:p w14:paraId="3E3A3F97">
      <w:pPr>
        <w:autoSpaceDE w:val="0"/>
        <w:autoSpaceDN w:val="0"/>
        <w:adjustRightInd w:val="0"/>
        <w:spacing w:line="360" w:lineRule="auto"/>
        <w:ind w:left="17" w:firstLine="482" w:firstLineChars="200"/>
        <w:jc w:val="left"/>
        <w:rPr>
          <w:rFonts w:hint="eastAsia" w:ascii="仿宋" w:hAnsi="仿宋" w:eastAsia="仿宋" w:cs="仿宋"/>
          <w:b/>
          <w:bCs/>
          <w:color w:val="000000"/>
          <w:kern w:val="0"/>
          <w:sz w:val="24"/>
          <w:szCs w:val="4"/>
          <w:lang w:val="zh-CN"/>
        </w:rPr>
      </w:pPr>
      <w:r>
        <w:rPr>
          <w:rFonts w:hint="eastAsia" w:ascii="仿宋" w:hAnsi="仿宋" w:eastAsia="仿宋" w:cs="仿宋"/>
          <w:b/>
          <w:bCs/>
          <w:color w:val="000000"/>
          <w:kern w:val="0"/>
          <w:sz w:val="24"/>
          <w:szCs w:val="4"/>
          <w:lang w:val="zh-CN"/>
        </w:rPr>
        <w:t>八、转让与分包</w:t>
      </w:r>
    </w:p>
    <w:p w14:paraId="59B38622">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1.除甲方事先书面</w:t>
      </w:r>
      <w:r>
        <w:rPr>
          <w:rFonts w:hint="eastAsia" w:ascii="仿宋" w:hAnsi="仿宋" w:eastAsia="仿宋" w:cs="仿宋"/>
          <w:color w:val="000000"/>
          <w:kern w:val="0"/>
          <w:sz w:val="24"/>
          <w:szCs w:val="4"/>
          <w:lang w:eastAsia="zh-CN"/>
        </w:rPr>
        <w:t>同意</w:t>
      </w:r>
      <w:r>
        <w:rPr>
          <w:rFonts w:hint="eastAsia" w:ascii="仿宋" w:hAnsi="仿宋" w:eastAsia="仿宋" w:cs="仿宋"/>
          <w:color w:val="000000"/>
          <w:kern w:val="0"/>
          <w:sz w:val="24"/>
          <w:szCs w:val="4"/>
        </w:rPr>
        <w:t>外，乙方不得部分转让或全部转让其应履行的合同义务。</w:t>
      </w:r>
    </w:p>
    <w:p w14:paraId="681BC80A">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2.乙方应在磋商响应文件中或以其他书面形式对甲方确认本合同项下所授予的所有分包合同。但该确认不解除乙方承担的本合同下的任何责任或义务。意即在本合同项下，乙方对甲方负总责。</w:t>
      </w:r>
    </w:p>
    <w:p w14:paraId="16027D9A">
      <w:pPr>
        <w:autoSpaceDE w:val="0"/>
        <w:autoSpaceDN w:val="0"/>
        <w:adjustRightInd w:val="0"/>
        <w:spacing w:line="360" w:lineRule="auto"/>
        <w:ind w:left="17" w:firstLine="482" w:firstLineChars="200"/>
        <w:jc w:val="left"/>
        <w:rPr>
          <w:rFonts w:hint="eastAsia" w:ascii="仿宋" w:hAnsi="仿宋" w:eastAsia="仿宋" w:cs="仿宋"/>
          <w:b/>
          <w:bCs/>
          <w:color w:val="000000"/>
          <w:kern w:val="0"/>
          <w:sz w:val="24"/>
          <w:szCs w:val="4"/>
          <w:lang w:val="zh-CN"/>
        </w:rPr>
      </w:pPr>
      <w:r>
        <w:rPr>
          <w:rFonts w:hint="eastAsia" w:ascii="仿宋" w:hAnsi="仿宋" w:eastAsia="仿宋" w:cs="仿宋"/>
          <w:b/>
          <w:bCs/>
          <w:color w:val="000000"/>
          <w:kern w:val="0"/>
          <w:sz w:val="24"/>
          <w:szCs w:val="4"/>
          <w:lang w:val="zh-CN"/>
        </w:rPr>
        <w:t>九、合同文件及资料的使用</w:t>
      </w:r>
    </w:p>
    <w:p w14:paraId="14A3530F">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1.乙方在未经甲方同意的情况下，不得将合同、合同中的规定、有关计划、样本或甲方为上述内容向乙方提供的资料透露给任何人。</w:t>
      </w:r>
    </w:p>
    <w:p w14:paraId="0BD4E12E">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2.除非执行合同需要，在事先未得到甲方同意的情况下，乙方不得使用前款所列的任何文件和资料。</w:t>
      </w:r>
    </w:p>
    <w:p w14:paraId="08C0EAA9">
      <w:pPr>
        <w:autoSpaceDE w:val="0"/>
        <w:autoSpaceDN w:val="0"/>
        <w:adjustRightInd w:val="0"/>
        <w:spacing w:line="360" w:lineRule="auto"/>
        <w:ind w:left="17" w:firstLine="482" w:firstLineChars="200"/>
        <w:jc w:val="left"/>
        <w:rPr>
          <w:rFonts w:hint="eastAsia" w:ascii="仿宋" w:hAnsi="仿宋" w:eastAsia="仿宋" w:cs="仿宋"/>
          <w:color w:val="000000"/>
          <w:kern w:val="0"/>
          <w:sz w:val="24"/>
          <w:szCs w:val="4"/>
        </w:rPr>
      </w:pPr>
      <w:r>
        <w:rPr>
          <w:rFonts w:hint="eastAsia" w:ascii="仿宋" w:hAnsi="仿宋" w:eastAsia="仿宋" w:cs="仿宋"/>
          <w:b/>
          <w:bCs/>
          <w:color w:val="000000"/>
          <w:kern w:val="0"/>
          <w:sz w:val="24"/>
          <w:szCs w:val="4"/>
          <w:lang w:val="zh-CN"/>
        </w:rPr>
        <w:t>十、合同争议的解决</w:t>
      </w:r>
    </w:p>
    <w:p w14:paraId="51D19252">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本合同履行过程中发生的任何争议，双方当事人均可通过和解或者调解解决；不愿和解、调解或者和解、调解不成的，可以向</w:t>
      </w:r>
      <w:r>
        <w:rPr>
          <w:rFonts w:hint="eastAsia" w:ascii="仿宋" w:hAnsi="仿宋" w:eastAsia="仿宋" w:cs="仿宋"/>
          <w:color w:val="000000"/>
          <w:kern w:val="0"/>
          <w:sz w:val="24"/>
          <w:szCs w:val="4"/>
          <w:u w:val="single"/>
        </w:rPr>
        <w:t xml:space="preserve"> </w:t>
      </w:r>
      <w:r>
        <w:rPr>
          <w:rFonts w:hint="eastAsia" w:ascii="仿宋" w:hAnsi="仿宋" w:eastAsia="仿宋" w:cs="仿宋"/>
          <w:color w:val="000000"/>
          <w:kern w:val="0"/>
          <w:sz w:val="24"/>
          <w:szCs w:val="4"/>
          <w:u w:val="single"/>
          <w:lang w:val="en-US" w:eastAsia="zh-CN"/>
        </w:rPr>
        <w:t xml:space="preserve">     </w:t>
      </w:r>
      <w:r>
        <w:rPr>
          <w:rFonts w:hint="eastAsia" w:ascii="仿宋" w:hAnsi="仿宋" w:eastAsia="仿宋" w:cs="仿宋"/>
          <w:color w:val="000000"/>
          <w:kern w:val="0"/>
          <w:sz w:val="24"/>
          <w:szCs w:val="4"/>
          <w:u w:val="single"/>
        </w:rPr>
        <w:t xml:space="preserve"> </w:t>
      </w:r>
      <w:r>
        <w:rPr>
          <w:rFonts w:hint="eastAsia" w:ascii="仿宋" w:hAnsi="仿宋" w:eastAsia="仿宋" w:cs="仿宋"/>
          <w:color w:val="000000"/>
          <w:kern w:val="0"/>
          <w:sz w:val="24"/>
          <w:szCs w:val="4"/>
        </w:rPr>
        <w:t>人民法院起诉：</w:t>
      </w:r>
    </w:p>
    <w:p w14:paraId="2C932082">
      <w:pPr>
        <w:autoSpaceDE w:val="0"/>
        <w:autoSpaceDN w:val="0"/>
        <w:adjustRightInd w:val="0"/>
        <w:spacing w:line="360" w:lineRule="auto"/>
        <w:ind w:left="17" w:firstLine="482" w:firstLineChars="200"/>
        <w:jc w:val="left"/>
        <w:rPr>
          <w:rFonts w:hint="eastAsia" w:ascii="仿宋" w:hAnsi="仿宋" w:eastAsia="仿宋" w:cs="仿宋"/>
          <w:color w:val="000000"/>
          <w:kern w:val="0"/>
          <w:sz w:val="24"/>
          <w:szCs w:val="4"/>
        </w:rPr>
      </w:pPr>
      <w:r>
        <w:rPr>
          <w:rFonts w:hint="eastAsia" w:ascii="仿宋" w:hAnsi="仿宋" w:eastAsia="仿宋" w:cs="仿宋"/>
          <w:b/>
          <w:bCs/>
          <w:color w:val="000000"/>
          <w:kern w:val="0"/>
          <w:sz w:val="24"/>
          <w:szCs w:val="4"/>
          <w:lang w:val="zh-CN"/>
        </w:rPr>
        <w:t>十一、其他</w:t>
      </w:r>
    </w:p>
    <w:p w14:paraId="67DA4599">
      <w:pPr>
        <w:autoSpaceDE w:val="0"/>
        <w:autoSpaceDN w:val="0"/>
        <w:adjustRightInd w:val="0"/>
        <w:spacing w:line="360" w:lineRule="auto"/>
        <w:ind w:left="17" w:firstLine="482" w:firstLineChars="200"/>
        <w:jc w:val="left"/>
        <w:rPr>
          <w:rFonts w:hint="eastAsia" w:ascii="仿宋" w:hAnsi="仿宋" w:eastAsia="仿宋" w:cs="仿宋"/>
          <w:b/>
          <w:bCs/>
          <w:color w:val="000000"/>
          <w:kern w:val="0"/>
          <w:sz w:val="24"/>
          <w:szCs w:val="4"/>
          <w:lang w:val="zh-CN"/>
        </w:rPr>
      </w:pPr>
      <w:r>
        <w:rPr>
          <w:rFonts w:hint="eastAsia" w:ascii="仿宋" w:hAnsi="仿宋" w:eastAsia="仿宋" w:cs="仿宋"/>
          <w:b/>
          <w:bCs/>
          <w:color w:val="000000"/>
          <w:kern w:val="0"/>
          <w:sz w:val="24"/>
          <w:szCs w:val="4"/>
          <w:lang w:val="zh-CN"/>
        </w:rPr>
        <w:t>十二、合同生效</w:t>
      </w:r>
    </w:p>
    <w:p w14:paraId="7E011BCB">
      <w:pPr>
        <w:autoSpaceDE w:val="0"/>
        <w:autoSpaceDN w:val="0"/>
        <w:adjustRightInd w:val="0"/>
        <w:spacing w:line="360" w:lineRule="auto"/>
        <w:ind w:left="17" w:firstLine="480" w:firstLineChars="200"/>
        <w:jc w:val="left"/>
        <w:rPr>
          <w:rFonts w:hint="default" w:ascii="仿宋" w:hAnsi="仿宋" w:eastAsia="仿宋" w:cs="仿宋"/>
          <w:color w:val="000000"/>
          <w:kern w:val="0"/>
          <w:sz w:val="24"/>
          <w:szCs w:val="4"/>
          <w:lang w:val="en-US" w:eastAsia="zh-CN"/>
        </w:rPr>
      </w:pPr>
      <w:r>
        <w:rPr>
          <w:rFonts w:hint="eastAsia" w:ascii="仿宋" w:hAnsi="仿宋" w:eastAsia="仿宋" w:cs="仿宋"/>
          <w:color w:val="000000"/>
          <w:kern w:val="0"/>
          <w:sz w:val="24"/>
          <w:szCs w:val="4"/>
        </w:rPr>
        <w:t>自双方当事人签字或盖章之日起生效，补充协议同样具有法律效应。</w:t>
      </w:r>
      <w:r>
        <w:rPr>
          <w:rFonts w:hint="eastAsia" w:ascii="仿宋" w:hAnsi="仿宋" w:eastAsia="仿宋" w:cs="仿宋"/>
          <w:color w:val="000000"/>
          <w:kern w:val="0"/>
          <w:sz w:val="24"/>
          <w:szCs w:val="4"/>
          <w:lang w:val="en-US" w:eastAsia="zh-CN"/>
        </w:rPr>
        <w:t>本合同一式</w:t>
      </w:r>
      <w:r>
        <w:rPr>
          <w:rFonts w:hint="eastAsia" w:ascii="仿宋" w:hAnsi="仿宋" w:eastAsia="仿宋" w:cs="仿宋"/>
          <w:color w:val="000000"/>
          <w:kern w:val="0"/>
          <w:sz w:val="24"/>
          <w:szCs w:val="4"/>
          <w:u w:val="single"/>
          <w:lang w:val="en-US" w:eastAsia="zh-CN"/>
        </w:rPr>
        <w:t xml:space="preserve"> 6 </w:t>
      </w:r>
      <w:r>
        <w:rPr>
          <w:rFonts w:hint="eastAsia" w:ascii="仿宋" w:hAnsi="仿宋" w:eastAsia="仿宋" w:cs="仿宋"/>
          <w:color w:val="000000"/>
          <w:kern w:val="0"/>
          <w:sz w:val="24"/>
          <w:szCs w:val="4"/>
          <w:lang w:val="en-US" w:eastAsia="zh-CN"/>
        </w:rPr>
        <w:t>份，甲乙双方各执</w:t>
      </w:r>
      <w:r>
        <w:rPr>
          <w:rFonts w:hint="eastAsia" w:ascii="仿宋" w:hAnsi="仿宋" w:eastAsia="仿宋" w:cs="仿宋"/>
          <w:color w:val="000000"/>
          <w:kern w:val="0"/>
          <w:sz w:val="24"/>
          <w:szCs w:val="4"/>
          <w:u w:val="single"/>
          <w:lang w:val="en-US" w:eastAsia="zh-CN"/>
        </w:rPr>
        <w:t xml:space="preserve"> 2 </w:t>
      </w:r>
      <w:r>
        <w:rPr>
          <w:rFonts w:hint="eastAsia" w:ascii="仿宋" w:hAnsi="仿宋" w:eastAsia="仿宋" w:cs="仿宋"/>
          <w:color w:val="000000"/>
          <w:kern w:val="0"/>
          <w:sz w:val="24"/>
          <w:szCs w:val="4"/>
          <w:lang w:val="en-US" w:eastAsia="zh-CN"/>
        </w:rPr>
        <w:t>份，采购代理机构</w:t>
      </w:r>
      <w:r>
        <w:rPr>
          <w:rFonts w:hint="eastAsia" w:ascii="仿宋" w:hAnsi="仿宋" w:eastAsia="仿宋" w:cs="仿宋"/>
          <w:color w:val="000000"/>
          <w:kern w:val="0"/>
          <w:sz w:val="24"/>
          <w:szCs w:val="4"/>
          <w:u w:val="single"/>
          <w:lang w:val="en-US" w:eastAsia="zh-CN"/>
        </w:rPr>
        <w:t xml:space="preserve"> 2 </w:t>
      </w:r>
      <w:r>
        <w:rPr>
          <w:rFonts w:hint="eastAsia" w:ascii="仿宋" w:hAnsi="仿宋" w:eastAsia="仿宋" w:cs="仿宋"/>
          <w:color w:val="000000"/>
          <w:kern w:val="0"/>
          <w:sz w:val="24"/>
          <w:szCs w:val="4"/>
          <w:lang w:val="en-US" w:eastAsia="zh-CN"/>
        </w:rPr>
        <w:t>份。</w:t>
      </w:r>
    </w:p>
    <w:p w14:paraId="00E30E00">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采购人（甲方）：（公章）               服务单位（乙方）：（公章）</w:t>
      </w:r>
    </w:p>
    <w:p w14:paraId="4C785B7D">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法定代表人或委托代理人：               法定代表人（单位负责人）或委托代理人：</w:t>
      </w:r>
    </w:p>
    <w:p w14:paraId="310F0AA2">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签字或盖章：                           签字或盖章：</w:t>
      </w:r>
    </w:p>
    <w:p w14:paraId="2F493C91">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电话：                                 电话：</w:t>
      </w:r>
    </w:p>
    <w:p w14:paraId="1F154CAB">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开户银行：                             开户银行：</w:t>
      </w:r>
    </w:p>
    <w:p w14:paraId="47C11056">
      <w:pPr>
        <w:autoSpaceDE w:val="0"/>
        <w:autoSpaceDN w:val="0"/>
        <w:adjustRightInd w:val="0"/>
        <w:spacing w:line="360" w:lineRule="auto"/>
        <w:ind w:left="17" w:firstLine="480" w:firstLineChars="200"/>
        <w:jc w:val="left"/>
        <w:rPr>
          <w:rFonts w:hint="eastAsia" w:ascii="仿宋" w:hAnsi="仿宋" w:eastAsia="仿宋" w:cs="仿宋"/>
          <w:color w:val="000000"/>
          <w:kern w:val="0"/>
          <w:sz w:val="24"/>
          <w:szCs w:val="4"/>
        </w:rPr>
      </w:pPr>
      <w:r>
        <w:rPr>
          <w:rFonts w:hint="eastAsia" w:ascii="仿宋" w:hAnsi="仿宋" w:eastAsia="仿宋" w:cs="仿宋"/>
          <w:color w:val="000000"/>
          <w:kern w:val="0"/>
          <w:sz w:val="24"/>
          <w:szCs w:val="4"/>
        </w:rPr>
        <w:t>账号：                                 账号：</w:t>
      </w:r>
    </w:p>
    <w:p w14:paraId="1DC0DC7A">
      <w:pPr>
        <w:autoSpaceDE w:val="0"/>
        <w:autoSpaceDN w:val="0"/>
        <w:adjustRightInd w:val="0"/>
        <w:spacing w:line="360" w:lineRule="auto"/>
        <w:ind w:left="17"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000000"/>
          <w:kern w:val="0"/>
          <w:sz w:val="24"/>
          <w:szCs w:val="4"/>
        </w:rPr>
        <w:t>202</w:t>
      </w:r>
      <w:r>
        <w:rPr>
          <w:rFonts w:hint="eastAsia" w:ascii="仿宋" w:hAnsi="仿宋" w:eastAsia="仿宋" w:cs="仿宋"/>
          <w:color w:val="000000"/>
          <w:kern w:val="0"/>
          <w:sz w:val="24"/>
          <w:szCs w:val="4"/>
          <w:lang w:val="en-US" w:eastAsia="zh-CN"/>
        </w:rPr>
        <w:t>4</w:t>
      </w:r>
      <w:r>
        <w:rPr>
          <w:rFonts w:hint="eastAsia" w:ascii="仿宋" w:hAnsi="仿宋" w:eastAsia="仿宋" w:cs="仿宋"/>
          <w:color w:val="000000"/>
          <w:kern w:val="0"/>
          <w:sz w:val="24"/>
          <w:szCs w:val="4"/>
        </w:rPr>
        <w:t>年    月    日                     202</w:t>
      </w:r>
      <w:r>
        <w:rPr>
          <w:rFonts w:hint="eastAsia" w:ascii="仿宋" w:hAnsi="仿宋" w:eastAsia="仿宋" w:cs="仿宋"/>
          <w:color w:val="000000"/>
          <w:kern w:val="0"/>
          <w:sz w:val="24"/>
          <w:szCs w:val="4"/>
          <w:lang w:val="en-US" w:eastAsia="zh-CN"/>
        </w:rPr>
        <w:t>4</w:t>
      </w:r>
      <w:r>
        <w:rPr>
          <w:rFonts w:hint="eastAsia" w:ascii="仿宋" w:hAnsi="仿宋" w:eastAsia="仿宋" w:cs="仿宋"/>
          <w:color w:val="000000"/>
          <w:kern w:val="0"/>
          <w:sz w:val="24"/>
          <w:szCs w:val="4"/>
        </w:rPr>
        <w:t>年    月    日</w:t>
      </w:r>
    </w:p>
    <w:bookmarkEnd w:id="971"/>
    <w:bookmarkEnd w:id="972"/>
    <w:bookmarkEnd w:id="973"/>
    <w:p w14:paraId="35ACF963">
      <w:pPr>
        <w:pStyle w:val="2"/>
        <w:jc w:val="center"/>
        <w:rPr>
          <w:rFonts w:hint="default" w:ascii="方正小标宋简体" w:hAnsi="仿宋" w:eastAsia="方正小标宋简体" w:cs="仿宋"/>
          <w:b w:val="0"/>
          <w:color w:val="auto"/>
          <w:sz w:val="44"/>
          <w:szCs w:val="44"/>
          <w:highlight w:val="none"/>
        </w:rPr>
      </w:pPr>
      <w:bookmarkStart w:id="985" w:name="_Toc144907780"/>
      <w:bookmarkStart w:id="986" w:name="_Toc23714"/>
      <w:r>
        <w:rPr>
          <w:rFonts w:ascii="方正小标宋简体" w:hAnsi="仿宋" w:eastAsia="方正小标宋简体" w:cs="仿宋"/>
          <w:b w:val="0"/>
          <w:color w:val="auto"/>
          <w:sz w:val="44"/>
          <w:szCs w:val="44"/>
          <w:highlight w:val="none"/>
        </w:rPr>
        <w:t>第七章 磋商响应文件格式</w:t>
      </w:r>
      <w:bookmarkEnd w:id="985"/>
      <w:bookmarkEnd w:id="986"/>
    </w:p>
    <w:p w14:paraId="5A246100">
      <w:pPr>
        <w:jc w:val="left"/>
        <w:rPr>
          <w:color w:val="auto"/>
          <w:sz w:val="20"/>
          <w:szCs w:val="22"/>
          <w:highlight w:val="none"/>
        </w:rPr>
      </w:pPr>
      <w:r>
        <w:rPr>
          <w:rFonts w:ascii="Calibri" w:hAnsi="Calibri" w:eastAsia="Calibri" w:cs="Times New Roman"/>
          <w:color w:val="auto"/>
          <w:kern w:val="0"/>
          <w:sz w:val="20"/>
          <w:szCs w:val="22"/>
          <w:highlight w:val="none"/>
          <w:lang w:bidi="ar"/>
        </w:rPr>
        <w:t xml:space="preserve"> </w:t>
      </w:r>
    </w:p>
    <w:p w14:paraId="3C9F4532">
      <w:pPr>
        <w:pStyle w:val="9"/>
        <w:adjustRightInd w:val="0"/>
        <w:snapToGrid w:val="0"/>
        <w:spacing w:before="62" w:beforeLines="20" w:after="62" w:afterLines="20" w:line="360" w:lineRule="auto"/>
        <w:ind w:right="-4" w:rightChars="-2"/>
        <w:rPr>
          <w:rFonts w:ascii="楷体_GB2312" w:eastAsia="楷体_GB2312" w:cs="楷体_GB2312"/>
          <w:color w:val="auto"/>
          <w:szCs w:val="28"/>
          <w:highlight w:val="none"/>
        </w:rPr>
      </w:pPr>
    </w:p>
    <w:p w14:paraId="31073F7E">
      <w:pPr>
        <w:rPr>
          <w:color w:val="auto"/>
          <w:highlight w:val="none"/>
        </w:rPr>
      </w:pPr>
    </w:p>
    <w:p w14:paraId="3699EA02">
      <w:pPr>
        <w:pStyle w:val="29"/>
        <w:ind w:firstLine="440"/>
        <w:rPr>
          <w:rFonts w:eastAsiaTheme="minorEastAsia"/>
          <w:color w:val="auto"/>
          <w:highlight w:val="none"/>
        </w:rPr>
      </w:pPr>
    </w:p>
    <w:p w14:paraId="3F007124">
      <w:pPr>
        <w:pStyle w:val="9"/>
        <w:adjustRightInd w:val="0"/>
        <w:snapToGrid w:val="0"/>
        <w:spacing w:before="62" w:beforeLines="20" w:after="62" w:afterLines="20" w:line="360" w:lineRule="auto"/>
        <w:ind w:right="-4" w:rightChars="-2"/>
        <w:jc w:val="center"/>
        <w:rPr>
          <w:rFonts w:ascii="仿宋" w:hAnsi="仿宋" w:eastAsia="仿宋" w:cs="仿宋"/>
          <w:color w:val="auto"/>
          <w:sz w:val="84"/>
          <w:szCs w:val="84"/>
          <w:highlight w:val="none"/>
        </w:rPr>
      </w:pPr>
      <w:r>
        <w:rPr>
          <w:rFonts w:hint="eastAsia" w:ascii="仿宋" w:hAnsi="仿宋" w:eastAsia="仿宋" w:cs="仿宋"/>
          <w:color w:val="auto"/>
          <w:sz w:val="84"/>
          <w:szCs w:val="84"/>
          <w:highlight w:val="none"/>
        </w:rPr>
        <w:t>（填写项目名称）</w:t>
      </w:r>
    </w:p>
    <w:p w14:paraId="6EC6FC0A">
      <w:pPr>
        <w:pStyle w:val="9"/>
        <w:adjustRightInd w:val="0"/>
        <w:snapToGrid w:val="0"/>
        <w:spacing w:before="62" w:beforeLines="20" w:after="62" w:afterLines="20" w:line="360" w:lineRule="auto"/>
        <w:ind w:right="-4" w:rightChars="-2"/>
        <w:jc w:val="center"/>
        <w:rPr>
          <w:rFonts w:ascii="仿宋" w:hAnsi="仿宋" w:eastAsia="仿宋" w:cs="仿宋"/>
          <w:color w:val="auto"/>
          <w:sz w:val="52"/>
          <w:szCs w:val="52"/>
          <w:highlight w:val="none"/>
        </w:rPr>
      </w:pPr>
      <w:r>
        <w:rPr>
          <w:rFonts w:hint="eastAsia" w:ascii="仿宋" w:hAnsi="仿宋" w:eastAsia="仿宋" w:cs="仿宋"/>
          <w:color w:val="auto"/>
          <w:sz w:val="52"/>
          <w:szCs w:val="52"/>
          <w:highlight w:val="none"/>
        </w:rPr>
        <w:t>响 应 文 件</w:t>
      </w:r>
    </w:p>
    <w:p w14:paraId="7AC357B7">
      <w:pPr>
        <w:pStyle w:val="9"/>
        <w:adjustRightInd w:val="0"/>
        <w:snapToGrid w:val="0"/>
        <w:spacing w:before="62" w:beforeLines="20" w:after="62" w:afterLines="20" w:line="360" w:lineRule="auto"/>
        <w:ind w:right="-4" w:rightChars="-2" w:firstLine="4200" w:firstLineChars="1500"/>
        <w:rPr>
          <w:rFonts w:ascii="仿宋" w:hAnsi="仿宋" w:eastAsia="仿宋" w:cs="仿宋"/>
          <w:color w:val="auto"/>
          <w:sz w:val="28"/>
          <w:szCs w:val="28"/>
          <w:highlight w:val="none"/>
        </w:rPr>
      </w:pPr>
    </w:p>
    <w:p w14:paraId="1AB4220D">
      <w:pPr>
        <w:pStyle w:val="9"/>
        <w:adjustRightInd w:val="0"/>
        <w:snapToGrid w:val="0"/>
        <w:spacing w:before="62" w:beforeLines="20" w:after="62" w:afterLines="20" w:line="360" w:lineRule="auto"/>
        <w:ind w:right="-4" w:rightChars="-2"/>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项目编号：xxxx</w:t>
      </w:r>
    </w:p>
    <w:p w14:paraId="22F8335F">
      <w:pPr>
        <w:pStyle w:val="9"/>
        <w:adjustRightInd w:val="0"/>
        <w:snapToGrid w:val="0"/>
        <w:spacing w:before="62" w:beforeLines="20" w:after="62" w:afterLines="20" w:line="360" w:lineRule="auto"/>
        <w:ind w:right="-4" w:rightChars="-2"/>
        <w:rPr>
          <w:rFonts w:ascii="仿宋" w:hAnsi="仿宋" w:eastAsia="仿宋" w:cs="仿宋"/>
          <w:color w:val="auto"/>
          <w:sz w:val="28"/>
          <w:szCs w:val="28"/>
          <w:highlight w:val="none"/>
        </w:rPr>
      </w:pPr>
    </w:p>
    <w:p w14:paraId="6968D015">
      <w:pPr>
        <w:pStyle w:val="9"/>
        <w:adjustRightInd w:val="0"/>
        <w:snapToGrid w:val="0"/>
        <w:spacing w:before="62" w:beforeLines="20" w:after="62" w:afterLines="20" w:line="360" w:lineRule="auto"/>
        <w:ind w:right="-4" w:rightChars="-2"/>
        <w:rPr>
          <w:rFonts w:ascii="仿宋" w:hAnsi="仿宋" w:eastAsia="仿宋" w:cs="仿宋"/>
          <w:color w:val="auto"/>
          <w:sz w:val="28"/>
          <w:szCs w:val="28"/>
          <w:highlight w:val="none"/>
        </w:rPr>
      </w:pPr>
    </w:p>
    <w:p w14:paraId="36C43DAE">
      <w:pPr>
        <w:pStyle w:val="9"/>
        <w:adjustRightInd w:val="0"/>
        <w:snapToGrid w:val="0"/>
        <w:spacing w:before="62" w:beforeLines="20" w:after="62" w:afterLines="20" w:line="360" w:lineRule="auto"/>
        <w:ind w:right="-4" w:rightChars="-2"/>
        <w:rPr>
          <w:rFonts w:ascii="仿宋" w:hAnsi="仿宋" w:eastAsia="仿宋" w:cs="仿宋"/>
          <w:color w:val="auto"/>
          <w:sz w:val="28"/>
          <w:szCs w:val="28"/>
          <w:highlight w:val="none"/>
        </w:rPr>
      </w:pPr>
    </w:p>
    <w:p w14:paraId="662799AD">
      <w:pPr>
        <w:pStyle w:val="9"/>
        <w:adjustRightInd w:val="0"/>
        <w:snapToGrid w:val="0"/>
        <w:spacing w:before="62" w:beforeLines="20" w:after="62" w:afterLines="20" w:line="360" w:lineRule="auto"/>
        <w:ind w:right="-4" w:rightChars="-2"/>
        <w:rPr>
          <w:rFonts w:ascii="仿宋" w:hAnsi="仿宋" w:eastAsia="仿宋" w:cs="仿宋"/>
          <w:color w:val="auto"/>
          <w:sz w:val="28"/>
          <w:szCs w:val="28"/>
          <w:highlight w:val="none"/>
        </w:rPr>
      </w:pPr>
    </w:p>
    <w:p w14:paraId="43D6DE98">
      <w:pPr>
        <w:pStyle w:val="9"/>
        <w:rPr>
          <w:rFonts w:ascii="仿宋" w:hAnsi="仿宋" w:eastAsia="仿宋" w:cs="仿宋"/>
          <w:color w:val="auto"/>
          <w:sz w:val="28"/>
          <w:szCs w:val="28"/>
          <w:highlight w:val="none"/>
        </w:rPr>
      </w:pPr>
    </w:p>
    <w:p w14:paraId="2B187059">
      <w:pPr>
        <w:rPr>
          <w:rFonts w:ascii="仿宋" w:hAnsi="仿宋" w:eastAsia="仿宋" w:cs="仿宋"/>
          <w:color w:val="auto"/>
          <w:sz w:val="28"/>
          <w:szCs w:val="28"/>
          <w:highlight w:val="none"/>
        </w:rPr>
      </w:pPr>
    </w:p>
    <w:p w14:paraId="1A07AA10">
      <w:pPr>
        <w:pStyle w:val="9"/>
        <w:adjustRightInd w:val="0"/>
        <w:snapToGrid w:val="0"/>
        <w:spacing w:before="62" w:beforeLines="20" w:after="62" w:afterLines="20" w:line="360" w:lineRule="auto"/>
        <w:ind w:right="-4" w:rightChars="-2"/>
        <w:rPr>
          <w:rFonts w:ascii="仿宋" w:hAnsi="仿宋" w:eastAsia="仿宋" w:cs="仿宋"/>
          <w:color w:val="auto"/>
          <w:sz w:val="28"/>
          <w:szCs w:val="28"/>
          <w:highlight w:val="none"/>
        </w:rPr>
      </w:pPr>
    </w:p>
    <w:p w14:paraId="632CF54E">
      <w:pPr>
        <w:pStyle w:val="13"/>
        <w:adjustRightInd w:val="0"/>
        <w:snapToGrid w:val="0"/>
        <w:spacing w:before="62" w:beforeLines="20" w:after="62" w:afterLines="20" w:line="360" w:lineRule="auto"/>
        <w:ind w:left="1239" w:leftChars="590" w:right="-4" w:rightChars="-2" w:firstLine="17" w:firstLineChars="6"/>
        <w:rPr>
          <w:rFonts w:ascii="仿宋" w:hAnsi="仿宋" w:eastAsia="仿宋" w:cs="仿宋"/>
          <w:b/>
          <w:bCs/>
          <w:color w:val="auto"/>
          <w:sz w:val="28"/>
          <w:szCs w:val="28"/>
          <w:highlight w:val="none"/>
          <w:u w:val="single"/>
        </w:rPr>
      </w:pPr>
      <w:r>
        <w:rPr>
          <w:rFonts w:hint="eastAsia" w:ascii="仿宋" w:hAnsi="仿宋" w:eastAsia="仿宋" w:cs="仿宋"/>
          <w:b/>
          <w:bCs/>
          <w:color w:val="auto"/>
          <w:sz w:val="28"/>
          <w:szCs w:val="28"/>
          <w:highlight w:val="none"/>
        </w:rPr>
        <w:t>项目名称：</w:t>
      </w:r>
      <w:r>
        <w:rPr>
          <w:rFonts w:hint="eastAsia" w:ascii="仿宋" w:hAnsi="仿宋" w:eastAsia="仿宋" w:cs="仿宋"/>
          <w:b/>
          <w:bCs/>
          <w:color w:val="auto"/>
          <w:sz w:val="28"/>
          <w:szCs w:val="28"/>
          <w:highlight w:val="none"/>
          <w:u w:val="single"/>
        </w:rPr>
        <w:t xml:space="preserve">                           （包： ）  </w:t>
      </w:r>
    </w:p>
    <w:p w14:paraId="590874A4">
      <w:pPr>
        <w:pStyle w:val="13"/>
        <w:adjustRightInd w:val="0"/>
        <w:snapToGrid w:val="0"/>
        <w:spacing w:before="62" w:beforeLines="20" w:after="62" w:afterLines="20" w:line="360" w:lineRule="auto"/>
        <w:ind w:left="1239" w:leftChars="590" w:right="-4" w:rightChars="-2" w:firstLine="17" w:firstLineChars="6"/>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响应文件内容：</w:t>
      </w:r>
      <w:r>
        <w:rPr>
          <w:rFonts w:hint="eastAsia" w:ascii="仿宋" w:hAnsi="仿宋" w:eastAsia="仿宋" w:cs="仿宋"/>
          <w:b/>
          <w:bCs/>
          <w:color w:val="auto"/>
          <w:sz w:val="28"/>
          <w:szCs w:val="28"/>
          <w:highlight w:val="none"/>
          <w:u w:val="single"/>
        </w:rPr>
        <w:t xml:space="preserve">             商务标               </w:t>
      </w:r>
    </w:p>
    <w:p w14:paraId="5D4D88B4">
      <w:pPr>
        <w:pStyle w:val="13"/>
        <w:adjustRightInd w:val="0"/>
        <w:snapToGrid w:val="0"/>
        <w:spacing w:before="62" w:beforeLines="20" w:after="62" w:afterLines="20" w:line="360" w:lineRule="auto"/>
        <w:ind w:left="1239" w:leftChars="590" w:right="-4" w:rightChars="-2" w:firstLine="17" w:firstLineChars="6"/>
        <w:rPr>
          <w:rFonts w:ascii="仿宋" w:hAnsi="仿宋" w:eastAsia="仿宋" w:cs="仿宋"/>
          <w:b/>
          <w:bCs/>
          <w:color w:val="auto"/>
          <w:sz w:val="28"/>
          <w:szCs w:val="28"/>
          <w:highlight w:val="none"/>
          <w:u w:val="single"/>
        </w:rPr>
      </w:pPr>
      <w:r>
        <w:rPr>
          <w:rFonts w:hint="eastAsia" w:ascii="仿宋" w:hAnsi="仿宋" w:eastAsia="仿宋" w:cs="仿宋"/>
          <w:b/>
          <w:bCs/>
          <w:color w:val="auto"/>
          <w:sz w:val="28"/>
          <w:szCs w:val="28"/>
          <w:highlight w:val="none"/>
        </w:rPr>
        <w:t>供 应 商：</w:t>
      </w:r>
      <w:r>
        <w:rPr>
          <w:rFonts w:hint="eastAsia" w:ascii="仿宋" w:hAnsi="仿宋" w:eastAsia="仿宋" w:cs="仿宋"/>
          <w:b/>
          <w:bCs/>
          <w:color w:val="auto"/>
          <w:sz w:val="28"/>
          <w:szCs w:val="28"/>
          <w:highlight w:val="none"/>
          <w:u w:val="single"/>
        </w:rPr>
        <w:t xml:space="preserve">              （盖章）                </w:t>
      </w:r>
    </w:p>
    <w:p w14:paraId="2CDC9A54">
      <w:pPr>
        <w:pStyle w:val="13"/>
        <w:adjustRightInd w:val="0"/>
        <w:snapToGrid w:val="0"/>
        <w:spacing w:before="62" w:beforeLines="20" w:after="62" w:afterLines="20" w:line="360" w:lineRule="auto"/>
        <w:ind w:left="1239" w:leftChars="590" w:right="-4" w:rightChars="-2" w:firstLine="17" w:firstLineChars="6"/>
        <w:rPr>
          <w:rFonts w:ascii="仿宋" w:hAnsi="仿宋" w:eastAsia="仿宋" w:cs="仿宋"/>
          <w:b/>
          <w:bCs/>
          <w:color w:val="auto"/>
          <w:sz w:val="28"/>
          <w:szCs w:val="28"/>
          <w:highlight w:val="none"/>
          <w:u w:val="single"/>
        </w:rPr>
      </w:pPr>
      <w:r>
        <w:rPr>
          <w:rFonts w:hint="eastAsia" w:ascii="仿宋" w:hAnsi="仿宋" w:eastAsia="仿宋" w:cs="仿宋"/>
          <w:b/>
          <w:bCs/>
          <w:color w:val="auto"/>
          <w:sz w:val="28"/>
          <w:szCs w:val="28"/>
          <w:highlight w:val="none"/>
        </w:rPr>
        <w:t>法定代表人或其委托代理人：</w:t>
      </w:r>
      <w:r>
        <w:rPr>
          <w:rFonts w:hint="eastAsia" w:ascii="仿宋" w:hAnsi="仿宋" w:eastAsia="仿宋" w:cs="仿宋"/>
          <w:b/>
          <w:bCs/>
          <w:color w:val="auto"/>
          <w:sz w:val="28"/>
          <w:szCs w:val="28"/>
          <w:highlight w:val="none"/>
          <w:u w:val="single"/>
        </w:rPr>
        <w:t xml:space="preserve">   （签字或盖章）     </w:t>
      </w:r>
    </w:p>
    <w:p w14:paraId="09D9465C">
      <w:pPr>
        <w:adjustRightInd w:val="0"/>
        <w:snapToGrid w:val="0"/>
        <w:spacing w:before="62" w:beforeLines="20" w:after="62" w:afterLines="20" w:line="360" w:lineRule="auto"/>
        <w:ind w:left="1239" w:leftChars="590" w:right="-4" w:rightChars="-2" w:firstLine="17" w:firstLineChars="6"/>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日    期：</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rPr>
        <w:t xml:space="preserve"> 年</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rPr>
        <w:t xml:space="preserve"> 月</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rPr>
        <w:t>日</w:t>
      </w:r>
    </w:p>
    <w:p w14:paraId="241542B4">
      <w:pPr>
        <w:rPr>
          <w:rFonts w:hint="eastAsia" w:ascii="仿宋" w:hAnsi="仿宋" w:eastAsia="仿宋" w:cs="仿宋"/>
          <w:b/>
          <w:color w:val="auto"/>
          <w:sz w:val="28"/>
          <w:szCs w:val="28"/>
          <w:highlight w:val="none"/>
          <w:lang w:val="en-US" w:eastAsia="zh-CN"/>
        </w:rPr>
      </w:pPr>
      <w:bookmarkStart w:id="987" w:name="1、投标函"/>
      <w:bookmarkEnd w:id="987"/>
    </w:p>
    <w:p w14:paraId="048D845E">
      <w:pPr>
        <w:pStyle w:val="78"/>
        <w:spacing w:line="360" w:lineRule="auto"/>
        <w:ind w:left="0"/>
        <w:jc w:val="center"/>
        <w:rPr>
          <w:rFonts w:hint="eastAsia" w:ascii="仿宋" w:hAnsi="仿宋" w:eastAsia="仿宋" w:cs="仿宋"/>
          <w:color w:val="auto"/>
          <w:sz w:val="28"/>
          <w:szCs w:val="28"/>
          <w:highlight w:val="none"/>
        </w:rPr>
      </w:pPr>
    </w:p>
    <w:p w14:paraId="48A71709">
      <w:pPr>
        <w:pStyle w:val="78"/>
        <w:spacing w:line="360" w:lineRule="auto"/>
        <w:ind w:left="0"/>
        <w:jc w:val="center"/>
        <w:rPr>
          <w:rFonts w:hint="eastAsia" w:ascii="仿宋" w:hAnsi="仿宋" w:eastAsia="仿宋" w:cs="仿宋"/>
          <w:color w:val="auto"/>
          <w:highlight w:val="none"/>
        </w:rPr>
      </w:pPr>
      <w:r>
        <w:rPr>
          <w:rFonts w:hint="eastAsia" w:ascii="仿宋" w:hAnsi="仿宋" w:eastAsia="仿宋" w:cs="仿宋"/>
          <w:color w:val="auto"/>
          <w:sz w:val="28"/>
          <w:szCs w:val="28"/>
          <w:highlight w:val="none"/>
        </w:rPr>
        <w:t>格式1、投标函</w:t>
      </w:r>
    </w:p>
    <w:p w14:paraId="02B71832">
      <w:pPr>
        <w:keepNext w:val="0"/>
        <w:keepLines w:val="0"/>
        <w:pageBreakBefore w:val="0"/>
        <w:widowControl w:val="0"/>
        <w:kinsoku/>
        <w:wordWrap/>
        <w:overflowPunct/>
        <w:topLinePunct w:val="0"/>
        <w:bidi w:val="0"/>
        <w:adjustRightInd/>
        <w:snapToGrid/>
        <w:spacing w:line="360" w:lineRule="auto"/>
        <w:jc w:val="left"/>
        <w:textAlignment w:val="auto"/>
        <w:rPr>
          <w:rFonts w:ascii="仿宋" w:hAnsi="仿宋" w:eastAsia="仿宋" w:cs="仿宋"/>
          <w:b/>
          <w:bCs/>
          <w:sz w:val="24"/>
        </w:rPr>
      </w:pPr>
      <w:r>
        <w:rPr>
          <w:rFonts w:hint="eastAsia" w:ascii="仿宋" w:hAnsi="仿宋" w:eastAsia="仿宋" w:cs="仿宋"/>
          <w:b/>
          <w:bCs/>
          <w:sz w:val="24"/>
        </w:rPr>
        <w:t xml:space="preserve">致：（采购人） </w:t>
      </w:r>
    </w:p>
    <w:p w14:paraId="40E093F4">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ascii="仿宋" w:hAnsi="仿宋" w:eastAsia="仿宋" w:cs="仿宋"/>
          <w:sz w:val="24"/>
        </w:rPr>
      </w:pPr>
      <w:r>
        <w:rPr>
          <w:rFonts w:hint="eastAsia" w:ascii="仿宋" w:hAnsi="仿宋" w:eastAsia="仿宋" w:cs="仿宋"/>
          <w:sz w:val="24"/>
        </w:rPr>
        <w:t>1、根据贵单位发布的招标公告和招标编号为</w:t>
      </w:r>
      <w:r>
        <w:rPr>
          <w:rFonts w:hint="eastAsia" w:ascii="仿宋" w:hAnsi="仿宋" w:eastAsia="仿宋" w:cs="仿宋"/>
          <w:sz w:val="24"/>
          <w:u w:val="single"/>
        </w:rPr>
        <w:t xml:space="preserve">       </w:t>
      </w:r>
      <w:r>
        <w:rPr>
          <w:rFonts w:hint="eastAsia" w:ascii="仿宋" w:hAnsi="仿宋" w:eastAsia="仿宋" w:cs="仿宋"/>
          <w:sz w:val="24"/>
        </w:rPr>
        <w:t>的磋商文件，我们决定参加你们组织的“</w:t>
      </w:r>
      <w:r>
        <w:rPr>
          <w:rFonts w:hint="eastAsia" w:ascii="仿宋" w:hAnsi="仿宋" w:eastAsia="仿宋" w:cs="仿宋"/>
          <w:sz w:val="24"/>
          <w:u w:val="single"/>
        </w:rPr>
        <w:t xml:space="preserve">             （包号：  ）</w:t>
      </w:r>
      <w:r>
        <w:rPr>
          <w:rFonts w:hint="eastAsia" w:ascii="仿宋" w:hAnsi="仿宋" w:eastAsia="仿宋" w:cs="仿宋"/>
          <w:sz w:val="24"/>
        </w:rPr>
        <w:t>”项目的招标活动。</w:t>
      </w:r>
    </w:p>
    <w:p w14:paraId="16E3A1C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仿宋" w:hAnsi="仿宋" w:eastAsia="仿宋" w:cs="仿宋"/>
          <w:sz w:val="24"/>
        </w:rPr>
      </w:pPr>
      <w:r>
        <w:rPr>
          <w:rFonts w:hint="eastAsia" w:ascii="仿宋" w:hAnsi="仿宋" w:eastAsia="仿宋" w:cs="仿宋"/>
          <w:sz w:val="24"/>
        </w:rPr>
        <w:t>2、我方愿意按照磋商文件规定的各项要求，向采购人提供所需的服务，投标总报价为人民币（大写）</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 xml:space="preserve">  </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 xml:space="preserve">       </w:t>
      </w:r>
      <w:r>
        <w:rPr>
          <w:rFonts w:hint="eastAsia" w:ascii="仿宋" w:hAnsi="仿宋" w:eastAsia="仿宋" w:cs="仿宋"/>
          <w:sz w:val="24"/>
          <w:u w:val="single"/>
        </w:rPr>
        <w:t xml:space="preserve"> </w:t>
      </w:r>
      <w:r>
        <w:rPr>
          <w:rFonts w:hint="eastAsia" w:ascii="仿宋" w:hAnsi="仿宋" w:eastAsia="仿宋" w:cs="仿宋"/>
          <w:sz w:val="24"/>
        </w:rPr>
        <w:t>元（小写</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 xml:space="preserve">  </w:t>
      </w:r>
      <w:r>
        <w:rPr>
          <w:rFonts w:hint="eastAsia" w:ascii="仿宋" w:hAnsi="仿宋" w:eastAsia="仿宋" w:cs="仿宋"/>
          <w:sz w:val="24"/>
          <w:u w:val="single"/>
        </w:rPr>
        <w:t xml:space="preserve">  </w:t>
      </w:r>
      <w:r>
        <w:rPr>
          <w:rFonts w:hint="eastAsia" w:ascii="仿宋" w:hAnsi="仿宋" w:eastAsia="仿宋" w:cs="仿宋"/>
          <w:sz w:val="24"/>
        </w:rPr>
        <w:t>元</w:t>
      </w:r>
      <w:r>
        <w:rPr>
          <w:rFonts w:hint="eastAsia" w:ascii="仿宋" w:hAnsi="仿宋" w:eastAsia="仿宋" w:cs="仿宋"/>
          <w:sz w:val="24"/>
          <w:highlight w:val="none"/>
        </w:rPr>
        <w:t>），</w:t>
      </w:r>
      <w:r>
        <w:rPr>
          <w:rFonts w:hint="eastAsia" w:ascii="仿宋" w:hAnsi="仿宋" w:eastAsia="仿宋" w:cs="仿宋"/>
          <w:sz w:val="24"/>
          <w:highlight w:val="none"/>
          <w:lang w:val="en-US" w:eastAsia="zh-CN"/>
        </w:rPr>
        <w:t>服务期</w:t>
      </w:r>
      <w:r>
        <w:rPr>
          <w:rFonts w:hint="eastAsia" w:ascii="仿宋" w:hAnsi="仿宋" w:eastAsia="仿宋" w:cs="仿宋"/>
          <w:sz w:val="24"/>
        </w:rPr>
        <w:t>为</w:t>
      </w:r>
      <w:r>
        <w:rPr>
          <w:rFonts w:hint="eastAsia" w:ascii="仿宋" w:hAnsi="仿宋" w:eastAsia="仿宋" w:cs="仿宋"/>
          <w:sz w:val="24"/>
          <w:u w:val="single"/>
        </w:rPr>
        <w:t xml:space="preserve">     </w:t>
      </w:r>
      <w:r>
        <w:rPr>
          <w:rFonts w:hint="eastAsia" w:ascii="仿宋" w:hAnsi="仿宋" w:eastAsia="仿宋" w:cs="仿宋"/>
          <w:sz w:val="24"/>
        </w:rPr>
        <w:t>日，质量达到</w:t>
      </w:r>
      <w:r>
        <w:rPr>
          <w:rFonts w:hint="eastAsia" w:ascii="仿宋" w:hAnsi="仿宋" w:eastAsia="仿宋" w:cs="仿宋"/>
          <w:sz w:val="24"/>
          <w:u w:val="single"/>
        </w:rPr>
        <w:t xml:space="preserve">        </w:t>
      </w:r>
      <w:r>
        <w:rPr>
          <w:rFonts w:hint="eastAsia" w:ascii="仿宋" w:hAnsi="仿宋" w:eastAsia="仿宋" w:cs="仿宋"/>
          <w:sz w:val="24"/>
        </w:rPr>
        <w:t>。</w:t>
      </w:r>
    </w:p>
    <w:p w14:paraId="003F2F12">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ascii="仿宋" w:hAnsi="仿宋" w:eastAsia="仿宋" w:cs="仿宋"/>
          <w:sz w:val="24"/>
        </w:rPr>
      </w:pPr>
      <w:r>
        <w:rPr>
          <w:rFonts w:hint="eastAsia" w:ascii="仿宋" w:hAnsi="仿宋" w:eastAsia="仿宋" w:cs="仿宋"/>
          <w:sz w:val="24"/>
        </w:rPr>
        <w:t>3、一旦我方中标，我方将严格履行合同规定的责任和义务，按磋商文件要求提交履约保证金，保证于合同签字生效后，按规定的期</w:t>
      </w:r>
      <w:r>
        <w:rPr>
          <w:rFonts w:hint="eastAsia" w:ascii="仿宋" w:hAnsi="仿宋" w:eastAsia="仿宋" w:cs="仿宋"/>
          <w:sz w:val="24"/>
          <w:lang w:val="en-US" w:eastAsia="zh-CN"/>
        </w:rPr>
        <w:t>限</w:t>
      </w:r>
      <w:r>
        <w:rPr>
          <w:rFonts w:hint="eastAsia" w:ascii="仿宋" w:hAnsi="仿宋" w:eastAsia="仿宋" w:cs="仿宋"/>
          <w:sz w:val="24"/>
        </w:rPr>
        <w:t>完成项目</w:t>
      </w:r>
      <w:r>
        <w:rPr>
          <w:rFonts w:hint="eastAsia" w:ascii="仿宋" w:hAnsi="仿宋" w:eastAsia="仿宋" w:cs="仿宋"/>
          <w:sz w:val="24"/>
          <w:lang w:val="en-US" w:eastAsia="zh-CN"/>
        </w:rPr>
        <w:t>并</w:t>
      </w:r>
      <w:r>
        <w:rPr>
          <w:rFonts w:hint="eastAsia" w:ascii="仿宋" w:hAnsi="仿宋" w:eastAsia="仿宋" w:cs="仿宋"/>
          <w:sz w:val="24"/>
        </w:rPr>
        <w:t>交付采购人验收。</w:t>
      </w:r>
    </w:p>
    <w:p w14:paraId="7685EFC1">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ascii="仿宋" w:hAnsi="仿宋" w:eastAsia="仿宋" w:cs="仿宋"/>
          <w:sz w:val="24"/>
        </w:rPr>
      </w:pPr>
      <w:r>
        <w:rPr>
          <w:rFonts w:hint="eastAsia" w:ascii="仿宋" w:hAnsi="仿宋" w:eastAsia="仿宋" w:cs="仿宋"/>
          <w:sz w:val="24"/>
        </w:rPr>
        <w:t>4、投标有效期为自投标截止之日起</w:t>
      </w:r>
      <w:r>
        <w:rPr>
          <w:rFonts w:hint="eastAsia" w:ascii="仿宋" w:hAnsi="仿宋" w:eastAsia="仿宋" w:cs="仿宋"/>
          <w:sz w:val="24"/>
          <w:u w:val="single"/>
        </w:rPr>
        <w:t xml:space="preserve">     </w:t>
      </w:r>
      <w:r>
        <w:rPr>
          <w:rFonts w:hint="eastAsia" w:ascii="仿宋" w:hAnsi="仿宋" w:eastAsia="仿宋" w:cs="仿宋"/>
          <w:sz w:val="24"/>
        </w:rPr>
        <w:t>日历天。我方承诺完全响应磋商文件及补充、澄清、修改文件中的全部内容。</w:t>
      </w:r>
    </w:p>
    <w:p w14:paraId="6F81568D">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ascii="仿宋" w:hAnsi="仿宋" w:eastAsia="仿宋" w:cs="仿宋"/>
          <w:sz w:val="24"/>
        </w:rPr>
      </w:pPr>
      <w:r>
        <w:rPr>
          <w:rFonts w:hint="eastAsia" w:ascii="仿宋" w:hAnsi="仿宋" w:eastAsia="仿宋" w:cs="仿宋"/>
          <w:sz w:val="24"/>
        </w:rPr>
        <w:t>5、我方为本项目提交的投标文件有：正本一份、副本</w:t>
      </w:r>
      <w:r>
        <w:rPr>
          <w:rFonts w:hint="eastAsia" w:ascii="仿宋" w:hAnsi="仿宋" w:eastAsia="仿宋" w:cs="仿宋"/>
          <w:sz w:val="24"/>
          <w:lang w:val="en-US" w:eastAsia="zh-CN"/>
        </w:rPr>
        <w:t>三</w:t>
      </w:r>
      <w:r>
        <w:rPr>
          <w:rFonts w:hint="eastAsia" w:ascii="仿宋" w:hAnsi="仿宋" w:eastAsia="仿宋" w:cs="仿宋"/>
          <w:sz w:val="24"/>
        </w:rPr>
        <w:t>份。</w:t>
      </w:r>
    </w:p>
    <w:p w14:paraId="69CEA733">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ascii="仿宋" w:hAnsi="仿宋" w:eastAsia="仿宋" w:cs="仿宋"/>
          <w:sz w:val="24"/>
        </w:rPr>
      </w:pPr>
      <w:r>
        <w:rPr>
          <w:rFonts w:hint="eastAsia" w:ascii="仿宋" w:hAnsi="仿宋" w:eastAsia="仿宋" w:cs="仿宋"/>
          <w:sz w:val="24"/>
        </w:rPr>
        <w:t>6、我方愿意提供采购人可能另外要求的、与投标有关的文件资料，并保证我方已提供和将要提供的文件是真实的、准确的。</w:t>
      </w:r>
    </w:p>
    <w:p w14:paraId="72617E09">
      <w:pPr>
        <w:keepNext w:val="0"/>
        <w:keepLines w:val="0"/>
        <w:pageBreakBefore w:val="0"/>
        <w:widowControl w:val="0"/>
        <w:tabs>
          <w:tab w:val="left" w:pos="0"/>
          <w:tab w:val="left" w:pos="840"/>
        </w:tabs>
        <w:kinsoku/>
        <w:wordWrap/>
        <w:overflowPunct/>
        <w:topLinePunct w:val="0"/>
        <w:bidi w:val="0"/>
        <w:adjustRightInd/>
        <w:snapToGrid/>
        <w:spacing w:line="360" w:lineRule="auto"/>
        <w:ind w:firstLine="480" w:firstLineChars="200"/>
        <w:textAlignment w:val="auto"/>
        <w:rPr>
          <w:rFonts w:ascii="仿宋" w:hAnsi="仿宋" w:eastAsia="仿宋" w:cs="仿宋"/>
          <w:sz w:val="24"/>
        </w:rPr>
      </w:pPr>
      <w:r>
        <w:rPr>
          <w:rFonts w:hint="eastAsia" w:ascii="仿宋" w:hAnsi="仿宋" w:eastAsia="仿宋" w:cs="仿宋"/>
          <w:sz w:val="24"/>
        </w:rPr>
        <w:t>7、我方完全理解你们不一定将合同授予最低报价的供应商。</w:t>
      </w:r>
    </w:p>
    <w:p w14:paraId="25CB990C">
      <w:pPr>
        <w:pStyle w:val="9"/>
        <w:keepNext w:val="0"/>
        <w:keepLines w:val="0"/>
        <w:pageBreakBefore w:val="0"/>
        <w:widowControl w:val="0"/>
        <w:kinsoku/>
        <w:wordWrap/>
        <w:overflowPunct/>
        <w:topLinePunct w:val="0"/>
        <w:bidi w:val="0"/>
        <w:adjustRightInd/>
        <w:snapToGrid/>
        <w:spacing w:line="360" w:lineRule="auto"/>
        <w:textAlignment w:val="auto"/>
        <w:rPr>
          <w:rFonts w:hint="eastAsia" w:ascii="仿宋" w:hAnsi="仿宋" w:eastAsia="仿宋" w:cs="仿宋"/>
          <w:color w:val="auto"/>
          <w:sz w:val="20"/>
          <w:highlight w:val="none"/>
        </w:rPr>
      </w:pPr>
    </w:p>
    <w:p w14:paraId="48E914A4">
      <w:pPr>
        <w:keepNext w:val="0"/>
        <w:keepLines w:val="0"/>
        <w:pageBreakBefore w:val="0"/>
        <w:widowControl w:val="0"/>
        <w:tabs>
          <w:tab w:val="left" w:pos="0"/>
          <w:tab w:val="left" w:pos="840"/>
        </w:tabs>
        <w:kinsoku/>
        <w:wordWrap/>
        <w:overflowPunct/>
        <w:topLinePunct w:val="0"/>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供应商名称：</w:t>
      </w:r>
      <w:r>
        <w:rPr>
          <w:rFonts w:hint="eastAsia" w:ascii="仿宋" w:hAnsi="仿宋" w:eastAsia="仿宋" w:cs="仿宋"/>
          <w:color w:val="auto"/>
          <w:sz w:val="24"/>
          <w:szCs w:val="24"/>
          <w:highlight w:val="none"/>
          <w:u w:val="single"/>
        </w:rPr>
        <w:t xml:space="preserve">        （公    章）                   </w:t>
      </w:r>
    </w:p>
    <w:p w14:paraId="62C79082">
      <w:pPr>
        <w:keepNext w:val="0"/>
        <w:keepLines w:val="0"/>
        <w:pageBreakBefore w:val="0"/>
        <w:widowControl w:val="0"/>
        <w:tabs>
          <w:tab w:val="left" w:pos="0"/>
          <w:tab w:val="left" w:pos="840"/>
        </w:tabs>
        <w:kinsoku/>
        <w:wordWrap/>
        <w:overflowPunct/>
        <w:topLinePunct w:val="0"/>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法定代表人（签字或盖章）：</w:t>
      </w:r>
      <w:r>
        <w:rPr>
          <w:rFonts w:hint="eastAsia" w:ascii="仿宋" w:hAnsi="仿宋" w:eastAsia="仿宋" w:cs="仿宋"/>
          <w:color w:val="auto"/>
          <w:sz w:val="24"/>
          <w:szCs w:val="24"/>
          <w:highlight w:val="none"/>
          <w:u w:val="single"/>
        </w:rPr>
        <w:t xml:space="preserve">                         </w:t>
      </w:r>
    </w:p>
    <w:p w14:paraId="6B14CEB2">
      <w:pPr>
        <w:keepNext w:val="0"/>
        <w:keepLines w:val="0"/>
        <w:pageBreakBefore w:val="0"/>
        <w:widowControl w:val="0"/>
        <w:kinsoku/>
        <w:wordWrap/>
        <w:overflowPunct/>
        <w:topLinePunct w:val="0"/>
        <w:bidi w:val="0"/>
        <w:adjustRightInd/>
        <w:snapToGrid/>
        <w:spacing w:line="360" w:lineRule="auto"/>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授权委托人（签字或盖章）：</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14:paraId="73C85A58">
      <w:pPr>
        <w:keepNext w:val="0"/>
        <w:keepLines w:val="0"/>
        <w:pageBreakBefore w:val="0"/>
        <w:widowControl w:val="0"/>
        <w:kinsoku/>
        <w:wordWrap/>
        <w:overflowPunct/>
        <w:topLinePunct w:val="0"/>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     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14:paraId="21F9DCD1">
      <w:pPr>
        <w:keepNext w:val="0"/>
        <w:keepLines w:val="0"/>
        <w:pageBreakBefore w:val="0"/>
        <w:widowControl w:val="0"/>
        <w:kinsoku/>
        <w:wordWrap/>
        <w:overflowPunct/>
        <w:topLinePunct w:val="0"/>
        <w:bidi w:val="0"/>
        <w:adjustRightInd/>
        <w:snapToGrid/>
        <w:spacing w:line="360" w:lineRule="auto"/>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通讯地址：</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14:paraId="5C3696CF">
      <w:pPr>
        <w:keepNext w:val="0"/>
        <w:keepLines w:val="0"/>
        <w:pageBreakBefore w:val="0"/>
        <w:widowControl w:val="0"/>
        <w:kinsoku/>
        <w:wordWrap/>
        <w:overflowPunct/>
        <w:topLinePunct w:val="0"/>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邮政编码：</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 xml:space="preserve">   </w:t>
      </w:r>
    </w:p>
    <w:p w14:paraId="0D9592F2">
      <w:pPr>
        <w:keepNext w:val="0"/>
        <w:keepLines w:val="0"/>
        <w:pageBreakBefore w:val="0"/>
        <w:widowControl w:val="0"/>
        <w:kinsoku/>
        <w:wordWrap/>
        <w:overflowPunct/>
        <w:topLinePunct w:val="0"/>
        <w:bidi w:val="0"/>
        <w:adjustRightInd/>
        <w:snapToGrid/>
        <w:spacing w:line="360" w:lineRule="auto"/>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电   话：</w:t>
      </w:r>
      <w:r>
        <w:rPr>
          <w:rFonts w:hint="eastAsia" w:ascii="仿宋" w:hAnsi="仿宋" w:eastAsia="仿宋" w:cs="仿宋"/>
          <w:color w:val="auto"/>
          <w:sz w:val="24"/>
          <w:szCs w:val="24"/>
          <w:highlight w:val="none"/>
          <w:u w:val="single"/>
        </w:rPr>
        <w:t xml:space="preserve"> （请填写授权人手机号码）</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14:paraId="6929FA1D">
      <w:pPr>
        <w:keepNext w:val="0"/>
        <w:keepLines w:val="0"/>
        <w:pageBreakBefore w:val="0"/>
        <w:widowControl w:val="0"/>
        <w:kinsoku/>
        <w:wordWrap/>
        <w:overflowPunct/>
        <w:topLinePunct w:val="0"/>
        <w:bidi w:val="0"/>
        <w:adjustRightInd/>
        <w:snapToGrid/>
        <w:spacing w:line="360" w:lineRule="auto"/>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传    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p>
    <w:p w14:paraId="3A9D631B">
      <w:pPr>
        <w:pStyle w:val="78"/>
        <w:keepNext w:val="0"/>
        <w:keepLines w:val="0"/>
        <w:pageBreakBefore w:val="0"/>
        <w:widowControl w:val="0"/>
        <w:kinsoku/>
        <w:wordWrap/>
        <w:overflowPunct/>
        <w:topLinePunct w:val="0"/>
        <w:bidi w:val="0"/>
        <w:adjustRightInd/>
        <w:snapToGrid/>
        <w:spacing w:line="360" w:lineRule="auto"/>
        <w:ind w:left="0"/>
        <w:jc w:val="center"/>
        <w:textAlignment w:val="auto"/>
        <w:rPr>
          <w:rFonts w:hint="eastAsia" w:ascii="宋体" w:hAnsi="宋体"/>
          <w:color w:val="auto"/>
          <w:highlight w:val="none"/>
        </w:rPr>
      </w:pPr>
      <w:r>
        <w:rPr>
          <w:rFonts w:ascii="宋体" w:hAnsi="宋体"/>
          <w:color w:val="auto"/>
          <w:highlight w:val="none"/>
          <w:u w:val="single"/>
        </w:rPr>
        <w:br w:type="page"/>
      </w:r>
      <w:r>
        <w:rPr>
          <w:rFonts w:hint="eastAsia" w:ascii="宋体" w:hAnsi="宋体"/>
          <w:color w:val="auto"/>
          <w:sz w:val="28"/>
          <w:szCs w:val="28"/>
          <w:highlight w:val="none"/>
        </w:rPr>
        <w:t>格式2、开标一览表</w:t>
      </w:r>
    </w:p>
    <w:p w14:paraId="33C0A898">
      <w:pPr>
        <w:spacing w:line="460" w:lineRule="exact"/>
        <w:rPr>
          <w:rFonts w:ascii="仿宋" w:hAnsi="仿宋" w:eastAsia="仿宋" w:cs="仿宋"/>
          <w:kern w:val="1"/>
          <w:sz w:val="24"/>
        </w:rPr>
      </w:pPr>
    </w:p>
    <w:p w14:paraId="57BA309E">
      <w:pPr>
        <w:spacing w:line="460" w:lineRule="exact"/>
        <w:ind w:firstLine="480" w:firstLineChars="200"/>
        <w:rPr>
          <w:rFonts w:ascii="仿宋" w:hAnsi="仿宋" w:eastAsia="仿宋" w:cs="仿宋"/>
          <w:kern w:val="1"/>
          <w:sz w:val="24"/>
        </w:rPr>
      </w:pPr>
      <w:r>
        <w:rPr>
          <w:rFonts w:hint="eastAsia" w:ascii="仿宋" w:hAnsi="仿宋" w:eastAsia="仿宋" w:cs="仿宋"/>
          <w:kern w:val="1"/>
          <w:sz w:val="24"/>
        </w:rPr>
        <w:t xml:space="preserve">项目编号 ：                                         </w:t>
      </w:r>
      <w:r>
        <w:rPr>
          <w:rFonts w:hint="eastAsia" w:ascii="仿宋" w:hAnsi="仿宋" w:eastAsia="仿宋" w:cs="仿宋"/>
          <w:kern w:val="1"/>
          <w:sz w:val="24"/>
          <w:lang w:val="en-US" w:eastAsia="zh-CN"/>
        </w:rPr>
        <w:t>包号：</w:t>
      </w:r>
      <w:r>
        <w:rPr>
          <w:rFonts w:hint="eastAsia" w:ascii="仿宋" w:hAnsi="仿宋" w:eastAsia="仿宋" w:cs="仿宋"/>
          <w:kern w:val="1"/>
          <w:sz w:val="24"/>
        </w:rPr>
        <w:t xml:space="preserve">                                         </w:t>
      </w:r>
    </w:p>
    <w:tbl>
      <w:tblPr>
        <w:tblStyle w:val="30"/>
        <w:tblW w:w="88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1"/>
        <w:gridCol w:w="7031"/>
      </w:tblGrid>
      <w:tr w14:paraId="2BF8E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791" w:type="dxa"/>
            <w:tcBorders>
              <w:top w:val="single" w:color="auto" w:sz="4" w:space="0"/>
              <w:left w:val="single" w:color="auto" w:sz="4" w:space="0"/>
              <w:bottom w:val="single" w:color="auto" w:sz="4" w:space="0"/>
              <w:right w:val="single" w:color="auto" w:sz="4" w:space="0"/>
            </w:tcBorders>
            <w:noWrap w:val="0"/>
            <w:vAlign w:val="center"/>
          </w:tcPr>
          <w:p w14:paraId="3BADC6C2">
            <w:pPr>
              <w:autoSpaceDE w:val="0"/>
              <w:autoSpaceDN w:val="0"/>
              <w:adjustRightInd w:val="0"/>
              <w:snapToGrid w:val="0"/>
              <w:spacing w:line="360" w:lineRule="auto"/>
              <w:jc w:val="center"/>
              <w:rPr>
                <w:rFonts w:ascii="仿宋" w:hAnsi="仿宋" w:eastAsia="仿宋" w:cs="仿宋"/>
                <w:bCs/>
                <w:sz w:val="24"/>
              </w:rPr>
            </w:pPr>
            <w:r>
              <w:rPr>
                <w:rFonts w:hint="eastAsia" w:ascii="仿宋" w:hAnsi="仿宋" w:eastAsia="仿宋" w:cs="仿宋"/>
                <w:bCs/>
                <w:sz w:val="24"/>
              </w:rPr>
              <w:t>项目名称</w:t>
            </w:r>
          </w:p>
        </w:tc>
        <w:tc>
          <w:tcPr>
            <w:tcW w:w="7031" w:type="dxa"/>
            <w:tcBorders>
              <w:top w:val="single" w:color="auto" w:sz="4" w:space="0"/>
              <w:left w:val="nil"/>
              <w:bottom w:val="single" w:color="auto" w:sz="4" w:space="0"/>
              <w:right w:val="single" w:color="auto" w:sz="4" w:space="0"/>
            </w:tcBorders>
            <w:noWrap w:val="0"/>
            <w:vAlign w:val="center"/>
          </w:tcPr>
          <w:p w14:paraId="7D4BBB4B">
            <w:pPr>
              <w:autoSpaceDE w:val="0"/>
              <w:autoSpaceDN w:val="0"/>
              <w:adjustRightInd w:val="0"/>
              <w:snapToGrid w:val="0"/>
              <w:spacing w:line="360" w:lineRule="auto"/>
              <w:jc w:val="center"/>
              <w:rPr>
                <w:rFonts w:ascii="仿宋" w:hAnsi="仿宋" w:eastAsia="仿宋" w:cs="仿宋"/>
                <w:bCs/>
                <w:sz w:val="24"/>
              </w:rPr>
            </w:pPr>
          </w:p>
        </w:tc>
      </w:tr>
      <w:tr w14:paraId="098F9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7" w:hRule="atLeast"/>
          <w:jc w:val="center"/>
        </w:trPr>
        <w:tc>
          <w:tcPr>
            <w:tcW w:w="1791" w:type="dxa"/>
            <w:tcBorders>
              <w:top w:val="single" w:color="auto" w:sz="4" w:space="0"/>
              <w:left w:val="single" w:color="auto" w:sz="4" w:space="0"/>
              <w:bottom w:val="single" w:color="auto" w:sz="4" w:space="0"/>
              <w:right w:val="single" w:color="auto" w:sz="4" w:space="0"/>
            </w:tcBorders>
            <w:noWrap w:val="0"/>
            <w:vAlign w:val="center"/>
          </w:tcPr>
          <w:p w14:paraId="4024CA40">
            <w:pPr>
              <w:autoSpaceDE w:val="0"/>
              <w:autoSpaceDN w:val="0"/>
              <w:adjustRightInd w:val="0"/>
              <w:snapToGrid w:val="0"/>
              <w:spacing w:line="360" w:lineRule="auto"/>
              <w:jc w:val="center"/>
              <w:rPr>
                <w:rFonts w:ascii="仿宋" w:hAnsi="仿宋" w:eastAsia="仿宋" w:cs="仿宋"/>
                <w:bCs/>
                <w:sz w:val="24"/>
              </w:rPr>
            </w:pPr>
            <w:r>
              <w:rPr>
                <w:rFonts w:hint="eastAsia" w:ascii="仿宋" w:hAnsi="仿宋" w:eastAsia="仿宋" w:cs="仿宋"/>
                <w:bCs/>
                <w:sz w:val="24"/>
              </w:rPr>
              <w:t>报价</w:t>
            </w:r>
          </w:p>
        </w:tc>
        <w:tc>
          <w:tcPr>
            <w:tcW w:w="7031" w:type="dxa"/>
            <w:tcBorders>
              <w:top w:val="single" w:color="auto" w:sz="4" w:space="0"/>
              <w:left w:val="nil"/>
              <w:bottom w:val="single" w:color="auto" w:sz="4" w:space="0"/>
              <w:right w:val="single" w:color="auto" w:sz="4" w:space="0"/>
            </w:tcBorders>
            <w:noWrap w:val="0"/>
            <w:vAlign w:val="center"/>
          </w:tcPr>
          <w:p w14:paraId="46DA3057">
            <w:pPr>
              <w:autoSpaceDE w:val="0"/>
              <w:autoSpaceDN w:val="0"/>
              <w:adjustRightInd w:val="0"/>
              <w:snapToGrid w:val="0"/>
              <w:spacing w:line="360" w:lineRule="auto"/>
              <w:rPr>
                <w:rFonts w:hint="eastAsia" w:ascii="仿宋" w:hAnsi="仿宋" w:eastAsia="仿宋" w:cs="仿宋"/>
                <w:bCs/>
                <w:sz w:val="24"/>
                <w:u w:val="single"/>
              </w:rPr>
            </w:pPr>
            <w:r>
              <w:rPr>
                <w:rFonts w:hint="eastAsia" w:ascii="仿宋" w:hAnsi="仿宋" w:eastAsia="仿宋" w:cs="仿宋"/>
                <w:bCs/>
                <w:sz w:val="24"/>
                <w:lang w:val="en-US" w:eastAsia="zh-CN"/>
              </w:rPr>
              <w:t>投标总价：</w:t>
            </w:r>
            <w:r>
              <w:rPr>
                <w:rFonts w:hint="eastAsia" w:ascii="仿宋" w:hAnsi="仿宋" w:eastAsia="仿宋" w:cs="仿宋"/>
                <w:bCs/>
                <w:sz w:val="24"/>
              </w:rPr>
              <w:t>大写：</w:t>
            </w:r>
            <w:r>
              <w:rPr>
                <w:rFonts w:hint="eastAsia" w:ascii="仿宋" w:hAnsi="仿宋" w:eastAsia="仿宋" w:cs="仿宋"/>
                <w:bCs/>
                <w:sz w:val="24"/>
                <w:u w:val="single"/>
              </w:rPr>
              <w:t xml:space="preserve">   </w:t>
            </w:r>
            <w:r>
              <w:rPr>
                <w:rFonts w:hint="eastAsia" w:ascii="仿宋" w:hAnsi="仿宋" w:eastAsia="仿宋" w:cs="仿宋"/>
                <w:bCs/>
                <w:sz w:val="24"/>
                <w:u w:val="single"/>
                <w:lang w:val="en-US" w:eastAsia="zh-CN"/>
              </w:rPr>
              <w:t xml:space="preserve">    </w:t>
            </w:r>
            <w:r>
              <w:rPr>
                <w:rFonts w:hint="eastAsia" w:ascii="仿宋" w:hAnsi="仿宋" w:eastAsia="仿宋" w:cs="仿宋"/>
                <w:bCs/>
                <w:sz w:val="24"/>
                <w:u w:val="single"/>
              </w:rPr>
              <w:t xml:space="preserve">      </w:t>
            </w:r>
            <w:r>
              <w:rPr>
                <w:rFonts w:hint="eastAsia" w:ascii="仿宋" w:hAnsi="仿宋" w:eastAsia="仿宋" w:cs="仿宋"/>
                <w:bCs/>
                <w:sz w:val="24"/>
                <w:u w:val="none"/>
              </w:rPr>
              <w:t>元</w:t>
            </w:r>
          </w:p>
          <w:p w14:paraId="3A4B249C">
            <w:pPr>
              <w:autoSpaceDE w:val="0"/>
              <w:autoSpaceDN w:val="0"/>
              <w:adjustRightInd w:val="0"/>
              <w:snapToGrid w:val="0"/>
              <w:spacing w:line="360" w:lineRule="auto"/>
              <w:ind w:firstLine="1200" w:firstLineChars="500"/>
              <w:rPr>
                <w:rFonts w:ascii="仿宋" w:hAnsi="仿宋" w:eastAsia="仿宋" w:cs="仿宋"/>
                <w:bCs/>
                <w:sz w:val="24"/>
              </w:rPr>
            </w:pPr>
            <w:r>
              <w:rPr>
                <w:rFonts w:hint="eastAsia" w:ascii="仿宋" w:hAnsi="仿宋" w:eastAsia="仿宋" w:cs="仿宋"/>
                <w:bCs/>
                <w:sz w:val="24"/>
              </w:rPr>
              <w:t>小写：</w:t>
            </w:r>
            <w:r>
              <w:rPr>
                <w:rFonts w:hint="eastAsia" w:ascii="仿宋" w:hAnsi="仿宋" w:eastAsia="仿宋" w:cs="仿宋"/>
                <w:bCs/>
                <w:sz w:val="24"/>
                <w:u w:val="single"/>
              </w:rPr>
              <w:t xml:space="preserve">   </w:t>
            </w:r>
            <w:r>
              <w:rPr>
                <w:rFonts w:hint="eastAsia" w:ascii="仿宋" w:hAnsi="仿宋" w:eastAsia="仿宋" w:cs="仿宋"/>
                <w:bCs/>
                <w:sz w:val="24"/>
                <w:u w:val="single"/>
                <w:lang w:val="en-US" w:eastAsia="zh-CN"/>
              </w:rPr>
              <w:t xml:space="preserve">    </w:t>
            </w:r>
            <w:r>
              <w:rPr>
                <w:rFonts w:hint="eastAsia" w:ascii="仿宋" w:hAnsi="仿宋" w:eastAsia="仿宋" w:cs="仿宋"/>
                <w:bCs/>
                <w:sz w:val="24"/>
                <w:u w:val="single"/>
              </w:rPr>
              <w:t xml:space="preserve">      </w:t>
            </w:r>
            <w:r>
              <w:rPr>
                <w:rFonts w:hint="eastAsia" w:ascii="仿宋" w:hAnsi="仿宋" w:eastAsia="仿宋" w:cs="仿宋"/>
                <w:bCs/>
                <w:sz w:val="24"/>
                <w:u w:val="none"/>
              </w:rPr>
              <w:t>元</w:t>
            </w:r>
          </w:p>
        </w:tc>
      </w:tr>
      <w:tr w14:paraId="31A1A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1791" w:type="dxa"/>
            <w:tcBorders>
              <w:top w:val="single" w:color="auto" w:sz="4" w:space="0"/>
              <w:left w:val="single" w:color="auto" w:sz="4" w:space="0"/>
              <w:bottom w:val="single" w:color="auto" w:sz="4" w:space="0"/>
              <w:right w:val="single" w:color="auto" w:sz="4" w:space="0"/>
            </w:tcBorders>
            <w:noWrap w:val="0"/>
            <w:vAlign w:val="center"/>
          </w:tcPr>
          <w:p w14:paraId="2F7CEA24">
            <w:pPr>
              <w:autoSpaceDE w:val="0"/>
              <w:autoSpaceDN w:val="0"/>
              <w:adjustRightInd w:val="0"/>
              <w:snapToGrid w:val="0"/>
              <w:spacing w:line="360" w:lineRule="auto"/>
              <w:jc w:val="center"/>
              <w:rPr>
                <w:rFonts w:ascii="仿宋" w:hAnsi="仿宋" w:eastAsia="仿宋" w:cs="仿宋"/>
                <w:bCs/>
                <w:sz w:val="24"/>
              </w:rPr>
            </w:pPr>
            <w:r>
              <w:rPr>
                <w:rFonts w:hint="eastAsia" w:ascii="仿宋" w:hAnsi="仿宋" w:eastAsia="仿宋" w:cs="仿宋"/>
                <w:bCs/>
                <w:sz w:val="24"/>
              </w:rPr>
              <w:t>投标有效期</w:t>
            </w:r>
          </w:p>
        </w:tc>
        <w:tc>
          <w:tcPr>
            <w:tcW w:w="7031" w:type="dxa"/>
            <w:tcBorders>
              <w:top w:val="single" w:color="auto" w:sz="4" w:space="0"/>
              <w:left w:val="nil"/>
              <w:bottom w:val="single" w:color="auto" w:sz="4" w:space="0"/>
              <w:right w:val="single" w:color="auto" w:sz="4" w:space="0"/>
            </w:tcBorders>
            <w:noWrap w:val="0"/>
            <w:vAlign w:val="center"/>
          </w:tcPr>
          <w:p w14:paraId="41E329AF">
            <w:pPr>
              <w:autoSpaceDE w:val="0"/>
              <w:autoSpaceDN w:val="0"/>
              <w:adjustRightInd w:val="0"/>
              <w:snapToGrid w:val="0"/>
              <w:spacing w:line="360" w:lineRule="auto"/>
              <w:rPr>
                <w:rFonts w:ascii="仿宋" w:hAnsi="仿宋" w:eastAsia="仿宋" w:cs="仿宋"/>
                <w:bCs/>
                <w:sz w:val="24"/>
              </w:rPr>
            </w:pPr>
            <w:r>
              <w:rPr>
                <w:rFonts w:hint="eastAsia" w:ascii="仿宋" w:hAnsi="仿宋" w:eastAsia="仿宋" w:cs="仿宋"/>
                <w:bCs/>
                <w:sz w:val="24"/>
                <w:u w:val="single"/>
              </w:rPr>
              <w:t xml:space="preserve">         </w:t>
            </w:r>
            <w:r>
              <w:rPr>
                <w:rFonts w:hint="eastAsia" w:ascii="仿宋" w:hAnsi="仿宋" w:eastAsia="仿宋" w:cs="仿宋"/>
                <w:bCs/>
                <w:sz w:val="24"/>
              </w:rPr>
              <w:t>日历天</w:t>
            </w:r>
          </w:p>
        </w:tc>
      </w:tr>
      <w:tr w14:paraId="7B8BF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791" w:type="dxa"/>
            <w:tcBorders>
              <w:top w:val="single" w:color="auto" w:sz="4" w:space="0"/>
              <w:left w:val="single" w:color="auto" w:sz="4" w:space="0"/>
              <w:bottom w:val="single" w:color="auto" w:sz="4" w:space="0"/>
              <w:right w:val="single" w:color="auto" w:sz="4" w:space="0"/>
            </w:tcBorders>
            <w:noWrap w:val="0"/>
            <w:vAlign w:val="center"/>
          </w:tcPr>
          <w:p w14:paraId="51FE6B06">
            <w:pPr>
              <w:autoSpaceDE w:val="0"/>
              <w:autoSpaceDN w:val="0"/>
              <w:adjustRightInd w:val="0"/>
              <w:snapToGrid w:val="0"/>
              <w:spacing w:line="360" w:lineRule="auto"/>
              <w:jc w:val="center"/>
              <w:rPr>
                <w:rFonts w:ascii="仿宋" w:hAnsi="仿宋" w:eastAsia="仿宋" w:cs="仿宋"/>
                <w:bCs/>
                <w:sz w:val="24"/>
              </w:rPr>
            </w:pPr>
            <w:r>
              <w:rPr>
                <w:rFonts w:hint="eastAsia" w:ascii="仿宋" w:hAnsi="仿宋" w:eastAsia="仿宋" w:cs="仿宋"/>
                <w:bCs/>
                <w:sz w:val="24"/>
              </w:rPr>
              <w:t>质量要求</w:t>
            </w:r>
          </w:p>
        </w:tc>
        <w:tc>
          <w:tcPr>
            <w:tcW w:w="7031" w:type="dxa"/>
            <w:tcBorders>
              <w:top w:val="single" w:color="auto" w:sz="4" w:space="0"/>
              <w:left w:val="nil"/>
              <w:bottom w:val="single" w:color="auto" w:sz="4" w:space="0"/>
              <w:right w:val="single" w:color="auto" w:sz="4" w:space="0"/>
            </w:tcBorders>
            <w:noWrap w:val="0"/>
            <w:vAlign w:val="center"/>
          </w:tcPr>
          <w:p w14:paraId="46A6495A">
            <w:pPr>
              <w:autoSpaceDE w:val="0"/>
              <w:autoSpaceDN w:val="0"/>
              <w:adjustRightInd w:val="0"/>
              <w:snapToGrid w:val="0"/>
              <w:spacing w:line="360" w:lineRule="auto"/>
              <w:jc w:val="center"/>
              <w:rPr>
                <w:rFonts w:ascii="仿宋" w:hAnsi="仿宋" w:eastAsia="仿宋" w:cs="仿宋"/>
                <w:bCs/>
                <w:sz w:val="24"/>
              </w:rPr>
            </w:pPr>
          </w:p>
        </w:tc>
      </w:tr>
      <w:tr w14:paraId="1AB6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791" w:type="dxa"/>
            <w:tcBorders>
              <w:top w:val="single" w:color="auto" w:sz="4" w:space="0"/>
              <w:left w:val="single" w:color="auto" w:sz="4" w:space="0"/>
              <w:bottom w:val="single" w:color="auto" w:sz="4" w:space="0"/>
              <w:right w:val="single" w:color="auto" w:sz="4" w:space="0"/>
            </w:tcBorders>
            <w:noWrap w:val="0"/>
            <w:vAlign w:val="center"/>
          </w:tcPr>
          <w:p w14:paraId="620B55F3">
            <w:pPr>
              <w:autoSpaceDE w:val="0"/>
              <w:autoSpaceDN w:val="0"/>
              <w:adjustRightInd w:val="0"/>
              <w:snapToGrid w:val="0"/>
              <w:spacing w:line="360" w:lineRule="auto"/>
              <w:jc w:val="center"/>
              <w:rPr>
                <w:rFonts w:ascii="仿宋" w:hAnsi="仿宋" w:eastAsia="仿宋" w:cs="仿宋"/>
                <w:bCs/>
                <w:sz w:val="24"/>
              </w:rPr>
            </w:pPr>
            <w:r>
              <w:rPr>
                <w:rFonts w:hint="eastAsia" w:ascii="仿宋" w:hAnsi="仿宋" w:eastAsia="仿宋" w:cs="仿宋"/>
                <w:bCs/>
                <w:sz w:val="24"/>
                <w:lang w:val="en-US" w:eastAsia="zh-CN"/>
              </w:rPr>
              <w:t>服务期</w:t>
            </w:r>
          </w:p>
        </w:tc>
        <w:tc>
          <w:tcPr>
            <w:tcW w:w="7031" w:type="dxa"/>
            <w:tcBorders>
              <w:top w:val="single" w:color="auto" w:sz="4" w:space="0"/>
              <w:left w:val="nil"/>
              <w:bottom w:val="single" w:color="auto" w:sz="4" w:space="0"/>
              <w:right w:val="single" w:color="auto" w:sz="4" w:space="0"/>
            </w:tcBorders>
            <w:noWrap w:val="0"/>
            <w:vAlign w:val="center"/>
          </w:tcPr>
          <w:p w14:paraId="52F9A396">
            <w:pPr>
              <w:autoSpaceDE w:val="0"/>
              <w:autoSpaceDN w:val="0"/>
              <w:adjustRightInd w:val="0"/>
              <w:snapToGrid w:val="0"/>
              <w:spacing w:line="360" w:lineRule="auto"/>
              <w:jc w:val="center"/>
              <w:rPr>
                <w:rFonts w:ascii="仿宋" w:hAnsi="仿宋" w:eastAsia="仿宋" w:cs="仿宋"/>
                <w:bCs/>
                <w:sz w:val="24"/>
              </w:rPr>
            </w:pPr>
          </w:p>
        </w:tc>
      </w:tr>
      <w:tr w14:paraId="6A7B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1791" w:type="dxa"/>
            <w:tcBorders>
              <w:top w:val="single" w:color="auto" w:sz="4" w:space="0"/>
              <w:left w:val="single" w:color="auto" w:sz="4" w:space="0"/>
              <w:bottom w:val="single" w:color="auto" w:sz="4" w:space="0"/>
              <w:right w:val="single" w:color="auto" w:sz="4" w:space="0"/>
            </w:tcBorders>
            <w:noWrap w:val="0"/>
            <w:vAlign w:val="center"/>
          </w:tcPr>
          <w:p w14:paraId="43D52746">
            <w:pPr>
              <w:autoSpaceDE w:val="0"/>
              <w:autoSpaceDN w:val="0"/>
              <w:adjustRightInd w:val="0"/>
              <w:snapToGrid w:val="0"/>
              <w:spacing w:line="360" w:lineRule="auto"/>
              <w:jc w:val="center"/>
              <w:rPr>
                <w:rFonts w:ascii="仿宋" w:hAnsi="仿宋" w:eastAsia="仿宋" w:cs="仿宋"/>
                <w:bCs/>
                <w:sz w:val="24"/>
              </w:rPr>
            </w:pPr>
            <w:r>
              <w:rPr>
                <w:rFonts w:hint="eastAsia" w:ascii="仿宋" w:hAnsi="仿宋" w:eastAsia="仿宋" w:cs="仿宋"/>
                <w:bCs/>
                <w:sz w:val="24"/>
              </w:rPr>
              <w:t>是否响应磋商内容及要求</w:t>
            </w:r>
          </w:p>
        </w:tc>
        <w:tc>
          <w:tcPr>
            <w:tcW w:w="7031" w:type="dxa"/>
            <w:tcBorders>
              <w:top w:val="single" w:color="auto" w:sz="4" w:space="0"/>
              <w:left w:val="nil"/>
              <w:bottom w:val="single" w:color="auto" w:sz="4" w:space="0"/>
              <w:right w:val="single" w:color="auto" w:sz="4" w:space="0"/>
            </w:tcBorders>
            <w:noWrap w:val="0"/>
            <w:vAlign w:val="center"/>
          </w:tcPr>
          <w:p w14:paraId="155A4DDA">
            <w:pPr>
              <w:autoSpaceDE w:val="0"/>
              <w:autoSpaceDN w:val="0"/>
              <w:adjustRightInd w:val="0"/>
              <w:snapToGrid w:val="0"/>
              <w:spacing w:line="360" w:lineRule="auto"/>
              <w:jc w:val="both"/>
              <w:rPr>
                <w:rFonts w:ascii="仿宋" w:hAnsi="仿宋" w:eastAsia="仿宋" w:cs="仿宋"/>
                <w:bCs/>
                <w:sz w:val="24"/>
              </w:rPr>
            </w:pPr>
            <w:r>
              <w:rPr>
                <w:rFonts w:hint="eastAsia" w:ascii="仿宋" w:hAnsi="仿宋" w:eastAsia="仿宋" w:cs="仿宋"/>
                <w:bCs/>
                <w:sz w:val="24"/>
              </w:rPr>
              <w:t>是□    否</w:t>
            </w:r>
            <w:r>
              <w:rPr>
                <w:rFonts w:hint="eastAsia" w:ascii="仿宋" w:hAnsi="仿宋" w:eastAsia="仿宋" w:cs="仿宋"/>
                <w:bCs/>
                <w:sz w:val="24"/>
              </w:rPr>
              <w:sym w:font="Wingdings 2" w:char="00A3"/>
            </w:r>
            <w:r>
              <w:rPr>
                <w:rFonts w:hint="eastAsia" w:ascii="仿宋" w:hAnsi="仿宋" w:eastAsia="仿宋" w:cs="仿宋"/>
                <w:bCs/>
                <w:sz w:val="24"/>
              </w:rPr>
              <w:t xml:space="preserve">   （划√）</w:t>
            </w:r>
          </w:p>
        </w:tc>
      </w:tr>
      <w:tr w14:paraId="3E48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1791" w:type="dxa"/>
            <w:tcBorders>
              <w:top w:val="single" w:color="auto" w:sz="4" w:space="0"/>
              <w:left w:val="single" w:color="auto" w:sz="4" w:space="0"/>
              <w:bottom w:val="single" w:color="auto" w:sz="4" w:space="0"/>
              <w:right w:val="single" w:color="auto" w:sz="4" w:space="0"/>
            </w:tcBorders>
            <w:noWrap w:val="0"/>
            <w:vAlign w:val="center"/>
          </w:tcPr>
          <w:p w14:paraId="5DC94DED">
            <w:pPr>
              <w:autoSpaceDE w:val="0"/>
              <w:autoSpaceDN w:val="0"/>
              <w:adjustRightInd w:val="0"/>
              <w:snapToGrid w:val="0"/>
              <w:spacing w:line="360" w:lineRule="auto"/>
              <w:jc w:val="center"/>
              <w:rPr>
                <w:rFonts w:ascii="仿宋" w:hAnsi="仿宋" w:eastAsia="仿宋" w:cs="仿宋"/>
                <w:bCs/>
                <w:sz w:val="24"/>
              </w:rPr>
            </w:pPr>
            <w:r>
              <w:rPr>
                <w:rFonts w:hint="eastAsia" w:ascii="仿宋" w:hAnsi="仿宋" w:eastAsia="仿宋" w:cs="仿宋"/>
                <w:bCs/>
                <w:sz w:val="24"/>
              </w:rPr>
              <w:t>其他</w:t>
            </w:r>
          </w:p>
        </w:tc>
        <w:tc>
          <w:tcPr>
            <w:tcW w:w="7031" w:type="dxa"/>
            <w:tcBorders>
              <w:top w:val="single" w:color="auto" w:sz="4" w:space="0"/>
              <w:left w:val="nil"/>
              <w:bottom w:val="single" w:color="auto" w:sz="4" w:space="0"/>
              <w:right w:val="single" w:color="auto" w:sz="4" w:space="0"/>
            </w:tcBorders>
            <w:noWrap w:val="0"/>
            <w:vAlign w:val="center"/>
          </w:tcPr>
          <w:p w14:paraId="13104670">
            <w:pPr>
              <w:autoSpaceDE w:val="0"/>
              <w:autoSpaceDN w:val="0"/>
              <w:adjustRightInd w:val="0"/>
              <w:snapToGrid w:val="0"/>
              <w:spacing w:line="360" w:lineRule="auto"/>
              <w:jc w:val="left"/>
              <w:rPr>
                <w:rFonts w:hint="default" w:ascii="仿宋" w:hAnsi="仿宋" w:eastAsia="仿宋" w:cs="仿宋"/>
                <w:bCs/>
                <w:sz w:val="24"/>
                <w:lang w:val="en-US" w:eastAsia="zh-CN"/>
              </w:rPr>
            </w:pPr>
          </w:p>
        </w:tc>
      </w:tr>
    </w:tbl>
    <w:p w14:paraId="28752D14">
      <w:pPr>
        <w:autoSpaceDE w:val="0"/>
        <w:autoSpaceDN w:val="0"/>
        <w:adjustRightInd w:val="0"/>
        <w:snapToGrid w:val="0"/>
        <w:spacing w:line="360" w:lineRule="auto"/>
        <w:rPr>
          <w:rFonts w:hint="eastAsia" w:ascii="仿宋" w:hAnsi="仿宋" w:eastAsia="仿宋" w:cs="仿宋"/>
          <w:bCs/>
          <w:sz w:val="24"/>
        </w:rPr>
      </w:pPr>
      <w:r>
        <w:rPr>
          <w:rFonts w:hint="eastAsia" w:ascii="仿宋" w:hAnsi="仿宋" w:eastAsia="仿宋" w:cs="仿宋"/>
          <w:bCs/>
          <w:sz w:val="24"/>
        </w:rPr>
        <w:t>注：</w:t>
      </w:r>
      <w:r>
        <w:rPr>
          <w:rFonts w:hint="eastAsia" w:ascii="仿宋" w:hAnsi="仿宋" w:eastAsia="仿宋" w:cs="仿宋"/>
          <w:bCs/>
          <w:sz w:val="24"/>
          <w:lang w:val="en-US" w:eastAsia="zh-CN"/>
        </w:rPr>
        <w:t>投标报价应包含人员工资、社会保险、管理费、利润等完成本项目所发生的一切费用。</w:t>
      </w:r>
    </w:p>
    <w:p w14:paraId="430CE9F8">
      <w:pPr>
        <w:spacing w:line="440" w:lineRule="exact"/>
        <w:jc w:val="center"/>
        <w:rPr>
          <w:rFonts w:hint="eastAsia" w:ascii="仿宋" w:hAnsi="仿宋" w:eastAsia="仿宋" w:cs="仿宋"/>
          <w:color w:val="auto"/>
          <w:sz w:val="24"/>
          <w:szCs w:val="24"/>
          <w:highlight w:val="none"/>
        </w:rPr>
      </w:pPr>
    </w:p>
    <w:p w14:paraId="54D55DC2">
      <w:pPr>
        <w:rPr>
          <w:rFonts w:hint="eastAsia" w:ascii="宋体" w:hAnsi="宋体"/>
          <w:color w:val="auto"/>
          <w:highlight w:val="none"/>
        </w:rPr>
      </w:pPr>
    </w:p>
    <w:p w14:paraId="085960E3">
      <w:pPr>
        <w:pStyle w:val="9"/>
        <w:rPr>
          <w:rFonts w:hint="eastAsia" w:hAnsi="宋体"/>
          <w:b/>
          <w:color w:val="auto"/>
          <w:highlight w:val="none"/>
        </w:rPr>
      </w:pPr>
    </w:p>
    <w:p w14:paraId="2ECDD260">
      <w:pPr>
        <w:pStyle w:val="9"/>
        <w:rPr>
          <w:rFonts w:hint="eastAsia" w:ascii="仿宋" w:hAnsi="仿宋" w:eastAsia="仿宋" w:cs="仿宋"/>
          <w:color w:val="auto"/>
          <w:sz w:val="24"/>
          <w:szCs w:val="24"/>
          <w:highlight w:val="none"/>
        </w:rPr>
      </w:pPr>
    </w:p>
    <w:p w14:paraId="43FC5766">
      <w:pPr>
        <w:pStyle w:val="78"/>
        <w:spacing w:line="360" w:lineRule="auto"/>
        <w:ind w:left="0"/>
        <w:jc w:val="center"/>
        <w:rPr>
          <w:rFonts w:hint="eastAsia" w:ascii="宋体" w:hAnsi="宋体" w:eastAsia="宋体" w:cs="Times New Roman"/>
          <w:color w:val="auto"/>
          <w:sz w:val="28"/>
          <w:szCs w:val="28"/>
          <w:highlight w:val="none"/>
        </w:rPr>
      </w:pPr>
    </w:p>
    <w:p w14:paraId="29461D32">
      <w:pPr>
        <w:pStyle w:val="78"/>
        <w:spacing w:line="360" w:lineRule="auto"/>
        <w:ind w:left="0"/>
        <w:jc w:val="center"/>
        <w:rPr>
          <w:rFonts w:hint="eastAsia" w:ascii="宋体" w:hAnsi="宋体" w:eastAsia="宋体" w:cs="Times New Roman"/>
          <w:color w:val="auto"/>
          <w:sz w:val="28"/>
          <w:szCs w:val="28"/>
          <w:highlight w:val="none"/>
        </w:rPr>
      </w:pPr>
    </w:p>
    <w:p w14:paraId="52F773D7">
      <w:pPr>
        <w:pStyle w:val="78"/>
        <w:spacing w:line="360" w:lineRule="auto"/>
        <w:ind w:left="0"/>
        <w:jc w:val="center"/>
        <w:rPr>
          <w:rFonts w:hint="eastAsia" w:ascii="宋体" w:hAnsi="宋体" w:eastAsia="宋体" w:cs="Times New Roman"/>
          <w:color w:val="auto"/>
          <w:sz w:val="28"/>
          <w:szCs w:val="28"/>
          <w:highlight w:val="none"/>
        </w:rPr>
      </w:pPr>
    </w:p>
    <w:p w14:paraId="0385D4DD">
      <w:pPr>
        <w:pStyle w:val="78"/>
        <w:spacing w:line="360" w:lineRule="auto"/>
        <w:ind w:left="0"/>
        <w:jc w:val="both"/>
        <w:rPr>
          <w:rFonts w:hint="eastAsia" w:ascii="宋体" w:hAnsi="宋体" w:eastAsia="宋体" w:cs="Times New Roman"/>
          <w:color w:val="auto"/>
          <w:sz w:val="28"/>
          <w:szCs w:val="28"/>
          <w:highlight w:val="none"/>
        </w:rPr>
      </w:pPr>
    </w:p>
    <w:p w14:paraId="176771F1">
      <w:pPr>
        <w:pStyle w:val="78"/>
        <w:spacing w:line="360" w:lineRule="auto"/>
        <w:ind w:left="0"/>
        <w:jc w:val="center"/>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格式3、法人代表授权书</w:t>
      </w:r>
    </w:p>
    <w:p w14:paraId="31F0DFFA">
      <w:pPr>
        <w:spacing w:line="46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（采购人）：</w:t>
      </w:r>
    </w:p>
    <w:p w14:paraId="7E00CA5B">
      <w:pPr>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（供应商全称）法人代表授权</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（供应商代表姓名、身份证号码）为供应商代表，参加贵单位组织的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包号</w:t>
      </w:r>
      <w:r>
        <w:rPr>
          <w:rFonts w:hint="eastAsia" w:ascii="仿宋" w:hAnsi="仿宋" w:eastAsia="仿宋" w:cs="仿宋"/>
          <w:color w:val="auto"/>
          <w:sz w:val="24"/>
          <w:szCs w:val="24"/>
          <w:highlight w:val="none"/>
        </w:rPr>
        <w:t>）项目（招标编号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）招标活动，全权代表我方处理招标活动的一切事宜。</w:t>
      </w:r>
    </w:p>
    <w:p w14:paraId="1CF1A3D6">
      <w:pPr>
        <w:spacing w:line="460" w:lineRule="exact"/>
        <w:rPr>
          <w:rFonts w:hint="eastAsia" w:ascii="仿宋" w:hAnsi="仿宋" w:eastAsia="仿宋" w:cs="仿宋"/>
          <w:color w:val="auto"/>
          <w:sz w:val="24"/>
          <w:szCs w:val="24"/>
          <w:highlight w:val="none"/>
        </w:rPr>
      </w:pPr>
    </w:p>
    <w:p w14:paraId="676544AF">
      <w:pPr>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法定代表人（签字或盖章）：</w:t>
      </w:r>
    </w:p>
    <w:p w14:paraId="515D0E98">
      <w:pPr>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供应商名称（公章）：</w:t>
      </w:r>
    </w:p>
    <w:p w14:paraId="4C692A0C">
      <w:pPr>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日期：</w:t>
      </w:r>
    </w:p>
    <w:p w14:paraId="4095970A">
      <w:pPr>
        <w:spacing w:line="460" w:lineRule="exact"/>
        <w:rPr>
          <w:rFonts w:hint="eastAsia" w:ascii="仿宋" w:hAnsi="仿宋" w:eastAsia="仿宋" w:cs="仿宋"/>
          <w:color w:val="auto"/>
          <w:spacing w:val="20"/>
          <w:sz w:val="24"/>
          <w:szCs w:val="24"/>
          <w:highlight w:val="none"/>
        </w:rPr>
      </w:pPr>
    </w:p>
    <w:p w14:paraId="6F34908B">
      <w:pPr>
        <w:spacing w:line="440" w:lineRule="exact"/>
        <w:jc w:val="left"/>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附：</w:t>
      </w:r>
      <w:r>
        <w:rPr>
          <w:rFonts w:hint="eastAsia" w:ascii="仿宋" w:hAnsi="仿宋" w:eastAsia="仿宋" w:cs="仿宋"/>
          <w:b/>
          <w:bCs/>
          <w:color w:val="auto"/>
          <w:sz w:val="24"/>
          <w:szCs w:val="24"/>
          <w:highlight w:val="none"/>
        </w:rPr>
        <w:t>（后附授权代表身份证正反面扫描件）</w:t>
      </w:r>
    </w:p>
    <w:p w14:paraId="7CA9DF7D">
      <w:pPr>
        <w:spacing w:line="460" w:lineRule="exact"/>
        <w:rPr>
          <w:rFonts w:hint="eastAsia" w:ascii="仿宋" w:hAnsi="仿宋" w:eastAsia="仿宋" w:cs="仿宋"/>
          <w:color w:val="auto"/>
          <w:sz w:val="24"/>
          <w:szCs w:val="24"/>
          <w:highlight w:val="none"/>
        </w:rPr>
      </w:pPr>
    </w:p>
    <w:p w14:paraId="3F65E781">
      <w:pPr>
        <w:spacing w:line="560" w:lineRule="exact"/>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委托代理人姓名：</w:t>
      </w:r>
      <w:r>
        <w:rPr>
          <w:rFonts w:hint="eastAsia" w:ascii="仿宋" w:hAnsi="仿宋" w:eastAsia="仿宋" w:cs="仿宋"/>
          <w:color w:val="auto"/>
          <w:sz w:val="24"/>
          <w:szCs w:val="24"/>
          <w:highlight w:val="none"/>
          <w:u w:val="single"/>
        </w:rPr>
        <w:t xml:space="preserve">                        </w:t>
      </w:r>
    </w:p>
    <w:p w14:paraId="5701FBF5">
      <w:pPr>
        <w:spacing w:line="560" w:lineRule="exact"/>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职          务：</w:t>
      </w:r>
      <w:r>
        <w:rPr>
          <w:rFonts w:hint="eastAsia" w:ascii="仿宋" w:hAnsi="仿宋" w:eastAsia="仿宋" w:cs="仿宋"/>
          <w:color w:val="auto"/>
          <w:sz w:val="24"/>
          <w:szCs w:val="24"/>
          <w:highlight w:val="none"/>
          <w:u w:val="single"/>
        </w:rPr>
        <w:t xml:space="preserve">                       </w:t>
      </w:r>
    </w:p>
    <w:p w14:paraId="7DC19B30">
      <w:pPr>
        <w:spacing w:line="560" w:lineRule="exact"/>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详细通讯地址：  </w:t>
      </w:r>
      <w:r>
        <w:rPr>
          <w:rFonts w:hint="eastAsia" w:ascii="仿宋" w:hAnsi="仿宋" w:eastAsia="仿宋" w:cs="仿宋"/>
          <w:color w:val="auto"/>
          <w:sz w:val="24"/>
          <w:szCs w:val="24"/>
          <w:highlight w:val="none"/>
          <w:u w:val="single"/>
        </w:rPr>
        <w:t xml:space="preserve">                       </w:t>
      </w:r>
    </w:p>
    <w:p w14:paraId="3ED23E31">
      <w:pPr>
        <w:spacing w:line="560" w:lineRule="exact"/>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  政  编  码：</w:t>
      </w:r>
      <w:r>
        <w:rPr>
          <w:rFonts w:hint="eastAsia" w:ascii="仿宋" w:hAnsi="仿宋" w:eastAsia="仿宋" w:cs="仿宋"/>
          <w:color w:val="auto"/>
          <w:sz w:val="24"/>
          <w:szCs w:val="24"/>
          <w:highlight w:val="none"/>
          <w:u w:val="single"/>
        </w:rPr>
        <w:t xml:space="preserve">                       </w:t>
      </w:r>
    </w:p>
    <w:p w14:paraId="0BD93EE1">
      <w:pPr>
        <w:spacing w:line="560" w:lineRule="exact"/>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          真：</w:t>
      </w:r>
      <w:r>
        <w:rPr>
          <w:rFonts w:hint="eastAsia" w:ascii="仿宋" w:hAnsi="仿宋" w:eastAsia="仿宋" w:cs="仿宋"/>
          <w:color w:val="auto"/>
          <w:sz w:val="24"/>
          <w:szCs w:val="24"/>
          <w:highlight w:val="none"/>
          <w:u w:val="single"/>
        </w:rPr>
        <w:t xml:space="preserve">                       </w:t>
      </w:r>
    </w:p>
    <w:p w14:paraId="1EA95EB8">
      <w:pPr>
        <w:spacing w:line="560" w:lineRule="exact"/>
        <w:ind w:firstLine="482"/>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电          话：</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eastAsia="zh-CN"/>
        </w:rPr>
        <w:t>（询标联系电话）</w:t>
      </w:r>
      <w:r>
        <w:rPr>
          <w:rFonts w:hint="eastAsia" w:ascii="仿宋" w:hAnsi="仿宋" w:eastAsia="仿宋" w:cs="仿宋"/>
          <w:color w:val="auto"/>
          <w:sz w:val="24"/>
          <w:szCs w:val="24"/>
          <w:highlight w:val="none"/>
          <w:u w:val="single"/>
        </w:rPr>
        <w:t xml:space="preserve">     </w:t>
      </w:r>
    </w:p>
    <w:p w14:paraId="5E62E494">
      <w:pPr>
        <w:spacing w:line="440" w:lineRule="exact"/>
        <w:ind w:firstLine="470" w:firstLineChars="196"/>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电  子  信  箱：</w:t>
      </w:r>
      <w:r>
        <w:rPr>
          <w:rFonts w:hint="eastAsia" w:ascii="仿宋" w:hAnsi="仿宋" w:eastAsia="仿宋" w:cs="仿宋"/>
          <w:color w:val="auto"/>
          <w:sz w:val="24"/>
          <w:szCs w:val="24"/>
          <w:highlight w:val="none"/>
          <w:u w:val="single"/>
        </w:rPr>
        <w:t xml:space="preserve">                       </w:t>
      </w:r>
    </w:p>
    <w:p w14:paraId="36342FE9">
      <w:pPr>
        <w:spacing w:line="460" w:lineRule="exact"/>
        <w:rPr>
          <w:rFonts w:hint="eastAsia" w:ascii="仿宋" w:hAnsi="仿宋" w:eastAsia="仿宋" w:cs="仿宋"/>
          <w:color w:val="auto"/>
          <w:sz w:val="24"/>
          <w:szCs w:val="24"/>
          <w:highlight w:val="none"/>
        </w:rPr>
      </w:pPr>
    </w:p>
    <w:p w14:paraId="586F5B2D">
      <w:pPr>
        <w:spacing w:line="460" w:lineRule="exact"/>
        <w:rPr>
          <w:rFonts w:hint="eastAsia" w:ascii="仿宋" w:hAnsi="仿宋" w:eastAsia="仿宋" w:cs="仿宋"/>
          <w:color w:val="auto"/>
          <w:sz w:val="24"/>
          <w:szCs w:val="24"/>
          <w:highlight w:val="none"/>
        </w:rPr>
      </w:pPr>
    </w:p>
    <w:p w14:paraId="38CC36C0">
      <w:pPr>
        <w:spacing w:line="360" w:lineRule="auto"/>
        <w:jc w:val="center"/>
        <w:rPr>
          <w:rFonts w:hint="eastAsia" w:ascii="仿宋" w:hAnsi="仿宋" w:eastAsia="仿宋" w:cs="仿宋"/>
          <w:b/>
          <w:color w:val="auto"/>
          <w:sz w:val="24"/>
          <w:szCs w:val="24"/>
          <w:highlight w:val="none"/>
        </w:rPr>
      </w:pPr>
    </w:p>
    <w:p w14:paraId="6682FA4E">
      <w:pPr>
        <w:spacing w:line="360" w:lineRule="auto"/>
        <w:jc w:val="center"/>
        <w:rPr>
          <w:rFonts w:hint="eastAsia" w:ascii="仿宋" w:hAnsi="仿宋" w:eastAsia="仿宋" w:cs="仿宋"/>
          <w:b/>
          <w:color w:val="auto"/>
          <w:sz w:val="24"/>
          <w:szCs w:val="24"/>
          <w:highlight w:val="none"/>
        </w:rPr>
      </w:pPr>
    </w:p>
    <w:p w14:paraId="6AD6412F">
      <w:pPr>
        <w:spacing w:line="360" w:lineRule="auto"/>
        <w:jc w:val="center"/>
        <w:rPr>
          <w:rFonts w:hint="eastAsia" w:ascii="仿宋" w:hAnsi="仿宋" w:eastAsia="仿宋" w:cs="仿宋"/>
          <w:b/>
          <w:color w:val="auto"/>
          <w:sz w:val="28"/>
          <w:szCs w:val="28"/>
          <w:highlight w:val="none"/>
        </w:rPr>
      </w:pPr>
    </w:p>
    <w:p w14:paraId="0B3FEB70">
      <w:pPr>
        <w:spacing w:line="360" w:lineRule="auto"/>
        <w:jc w:val="center"/>
        <w:rPr>
          <w:rFonts w:hint="eastAsia" w:ascii="仿宋" w:hAnsi="仿宋" w:eastAsia="仿宋" w:cs="仿宋"/>
          <w:b/>
          <w:color w:val="auto"/>
          <w:sz w:val="28"/>
          <w:szCs w:val="28"/>
          <w:highlight w:val="none"/>
        </w:rPr>
      </w:pPr>
    </w:p>
    <w:p w14:paraId="486EEAE4">
      <w:pPr>
        <w:spacing w:line="360" w:lineRule="auto"/>
        <w:jc w:val="center"/>
        <w:rPr>
          <w:rFonts w:hint="eastAsia" w:ascii="仿宋" w:hAnsi="仿宋" w:eastAsia="仿宋" w:cs="仿宋"/>
          <w:b/>
          <w:color w:val="auto"/>
          <w:sz w:val="28"/>
          <w:szCs w:val="28"/>
          <w:highlight w:val="none"/>
        </w:rPr>
      </w:pPr>
    </w:p>
    <w:p w14:paraId="5A2FC440">
      <w:pPr>
        <w:spacing w:line="360" w:lineRule="auto"/>
        <w:jc w:val="center"/>
        <w:rPr>
          <w:rFonts w:hint="eastAsia" w:ascii="仿宋" w:hAnsi="仿宋" w:eastAsia="仿宋" w:cs="仿宋"/>
          <w:b/>
          <w:color w:val="auto"/>
          <w:sz w:val="28"/>
          <w:szCs w:val="28"/>
          <w:highlight w:val="none"/>
        </w:rPr>
      </w:pPr>
    </w:p>
    <w:p w14:paraId="4A33B78E">
      <w:pPr>
        <w:spacing w:line="360" w:lineRule="auto"/>
        <w:jc w:val="center"/>
        <w:rPr>
          <w:rFonts w:hint="eastAsia" w:ascii="仿宋" w:hAnsi="仿宋" w:eastAsia="仿宋" w:cs="仿宋"/>
          <w:b/>
          <w:color w:val="auto"/>
          <w:sz w:val="28"/>
          <w:szCs w:val="28"/>
          <w:highlight w:val="none"/>
        </w:rPr>
      </w:pPr>
    </w:p>
    <w:p w14:paraId="2A67636E">
      <w:pPr>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8"/>
          <w:szCs w:val="28"/>
          <w:highlight w:val="none"/>
        </w:rPr>
        <w:t>法定代表人身份证明</w:t>
      </w:r>
    </w:p>
    <w:p w14:paraId="0818B38A">
      <w:pPr>
        <w:spacing w:line="360" w:lineRule="auto"/>
        <w:jc w:val="center"/>
        <w:rPr>
          <w:rFonts w:hint="eastAsia" w:ascii="仿宋" w:hAnsi="仿宋" w:eastAsia="仿宋" w:cs="仿宋"/>
          <w:color w:val="auto"/>
          <w:sz w:val="24"/>
          <w:szCs w:val="24"/>
          <w:highlight w:val="none"/>
        </w:rPr>
      </w:pPr>
    </w:p>
    <w:p w14:paraId="22CB49C0">
      <w:pPr>
        <w:spacing w:line="360" w:lineRule="auto"/>
        <w:jc w:val="center"/>
        <w:rPr>
          <w:rFonts w:hint="eastAsia" w:ascii="仿宋" w:hAnsi="仿宋" w:eastAsia="仿宋" w:cs="仿宋"/>
          <w:color w:val="auto"/>
          <w:sz w:val="24"/>
          <w:szCs w:val="24"/>
          <w:highlight w:val="none"/>
        </w:rPr>
      </w:pPr>
    </w:p>
    <w:p w14:paraId="4F5A510A">
      <w:pPr>
        <w:spacing w:line="360" w:lineRule="auto"/>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u w:val="single"/>
        </w:rPr>
        <w:t xml:space="preserve">                                           </w:t>
      </w:r>
    </w:p>
    <w:p w14:paraId="1F80ECC7">
      <w:pPr>
        <w:spacing w:line="360" w:lineRule="auto"/>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单位性质：</w:t>
      </w:r>
      <w:r>
        <w:rPr>
          <w:rFonts w:hint="eastAsia" w:ascii="仿宋" w:hAnsi="仿宋" w:eastAsia="仿宋" w:cs="仿宋"/>
          <w:color w:val="auto"/>
          <w:sz w:val="24"/>
          <w:szCs w:val="24"/>
          <w:highlight w:val="none"/>
          <w:u w:val="single"/>
        </w:rPr>
        <w:t xml:space="preserve">                                           </w:t>
      </w:r>
    </w:p>
    <w:p w14:paraId="3F7CCBC7">
      <w:pPr>
        <w:spacing w:line="360" w:lineRule="auto"/>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地    址：</w:t>
      </w:r>
      <w:r>
        <w:rPr>
          <w:rFonts w:hint="eastAsia" w:ascii="仿宋" w:hAnsi="仿宋" w:eastAsia="仿宋" w:cs="仿宋"/>
          <w:color w:val="auto"/>
          <w:sz w:val="24"/>
          <w:szCs w:val="24"/>
          <w:highlight w:val="none"/>
          <w:u w:val="single"/>
        </w:rPr>
        <w:t xml:space="preserve">                                           </w:t>
      </w:r>
    </w:p>
    <w:p w14:paraId="77C41E0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成立时间：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月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日</w:t>
      </w:r>
    </w:p>
    <w:p w14:paraId="7711B6D8">
      <w:pPr>
        <w:spacing w:line="360" w:lineRule="auto"/>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经营期限：</w:t>
      </w:r>
      <w:r>
        <w:rPr>
          <w:rFonts w:hint="eastAsia" w:ascii="仿宋" w:hAnsi="仿宋" w:eastAsia="仿宋" w:cs="仿宋"/>
          <w:color w:val="auto"/>
          <w:sz w:val="24"/>
          <w:szCs w:val="24"/>
          <w:highlight w:val="none"/>
          <w:u w:val="single"/>
        </w:rPr>
        <w:t xml:space="preserve">                                           </w:t>
      </w:r>
    </w:p>
    <w:p w14:paraId="27D61347">
      <w:pPr>
        <w:spacing w:line="360" w:lineRule="auto"/>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姓    名：</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性别： </w:t>
      </w:r>
      <w:r>
        <w:rPr>
          <w:rFonts w:hint="eastAsia" w:ascii="仿宋" w:hAnsi="仿宋" w:eastAsia="仿宋" w:cs="仿宋"/>
          <w:color w:val="auto"/>
          <w:sz w:val="24"/>
          <w:szCs w:val="24"/>
          <w:highlight w:val="none"/>
          <w:u w:val="single"/>
        </w:rPr>
        <w:t xml:space="preserve">                   </w:t>
      </w:r>
    </w:p>
    <w:p w14:paraId="3DE5E796">
      <w:pPr>
        <w:spacing w:line="360" w:lineRule="auto"/>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年    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职务： </w:t>
      </w:r>
      <w:r>
        <w:rPr>
          <w:rFonts w:hint="eastAsia" w:ascii="仿宋" w:hAnsi="仿宋" w:eastAsia="仿宋" w:cs="仿宋"/>
          <w:color w:val="auto"/>
          <w:sz w:val="24"/>
          <w:szCs w:val="24"/>
          <w:highlight w:val="none"/>
          <w:u w:val="single"/>
        </w:rPr>
        <w:t xml:space="preserve">                   </w:t>
      </w:r>
    </w:p>
    <w:p w14:paraId="3A64255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w:t>
      </w:r>
      <w:r>
        <w:rPr>
          <w:rFonts w:hint="eastAsia" w:ascii="仿宋" w:hAnsi="仿宋" w:eastAsia="仿宋" w:cs="仿宋"/>
          <w:color w:val="auto"/>
          <w:sz w:val="24"/>
          <w:szCs w:val="24"/>
          <w:highlight w:val="none"/>
          <w:u w:val="single"/>
        </w:rPr>
        <w:t xml:space="preserve">           （供应商单位名称）             </w:t>
      </w:r>
      <w:r>
        <w:rPr>
          <w:rFonts w:hint="eastAsia" w:ascii="仿宋" w:hAnsi="仿宋" w:eastAsia="仿宋" w:cs="仿宋"/>
          <w:color w:val="auto"/>
          <w:sz w:val="24"/>
          <w:szCs w:val="24"/>
          <w:highlight w:val="none"/>
        </w:rPr>
        <w:t>的法定代表人。</w:t>
      </w:r>
    </w:p>
    <w:p w14:paraId="0581C4E6">
      <w:pPr>
        <w:spacing w:line="360" w:lineRule="auto"/>
        <w:ind w:firstLine="480" w:firstLineChars="200"/>
        <w:rPr>
          <w:rFonts w:hint="eastAsia" w:ascii="仿宋" w:hAnsi="仿宋" w:eastAsia="仿宋" w:cs="仿宋"/>
          <w:color w:val="auto"/>
          <w:sz w:val="24"/>
          <w:szCs w:val="24"/>
          <w:highlight w:val="none"/>
        </w:rPr>
      </w:pPr>
    </w:p>
    <w:p w14:paraId="5FBA54DB">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特此证明。</w:t>
      </w:r>
    </w:p>
    <w:p w14:paraId="64551FD5">
      <w:pPr>
        <w:spacing w:line="440" w:lineRule="exact"/>
        <w:ind w:firstLine="480" w:firstLineChars="200"/>
        <w:jc w:val="both"/>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附：</w:t>
      </w:r>
      <w:r>
        <w:rPr>
          <w:rFonts w:hint="eastAsia" w:ascii="仿宋" w:hAnsi="仿宋" w:eastAsia="仿宋" w:cs="仿宋"/>
          <w:b/>
          <w:bCs/>
          <w:color w:val="auto"/>
          <w:sz w:val="24"/>
          <w:szCs w:val="24"/>
          <w:highlight w:val="none"/>
        </w:rPr>
        <w:t>（后附法定代表人身份证正反面扫描件）</w:t>
      </w:r>
    </w:p>
    <w:p w14:paraId="53876A8F">
      <w:pPr>
        <w:spacing w:line="360" w:lineRule="auto"/>
        <w:ind w:firstLine="480" w:firstLineChars="200"/>
        <w:rPr>
          <w:rFonts w:hint="eastAsia" w:ascii="仿宋" w:hAnsi="仿宋" w:eastAsia="仿宋" w:cs="仿宋"/>
          <w:color w:val="auto"/>
          <w:sz w:val="24"/>
          <w:szCs w:val="24"/>
          <w:highlight w:val="none"/>
        </w:rPr>
      </w:pPr>
    </w:p>
    <w:p w14:paraId="25942387">
      <w:pPr>
        <w:spacing w:line="360" w:lineRule="auto"/>
        <w:ind w:firstLine="480" w:firstLineChars="200"/>
        <w:rPr>
          <w:rFonts w:hint="eastAsia" w:ascii="仿宋" w:hAnsi="仿宋" w:eastAsia="仿宋" w:cs="仿宋"/>
          <w:color w:val="auto"/>
          <w:sz w:val="24"/>
          <w:szCs w:val="24"/>
          <w:highlight w:val="none"/>
        </w:rPr>
      </w:pPr>
    </w:p>
    <w:p w14:paraId="010D7B5C">
      <w:pPr>
        <w:spacing w:line="360" w:lineRule="auto"/>
        <w:ind w:right="48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3D584785">
      <w:pPr>
        <w:spacing w:line="360" w:lineRule="auto"/>
        <w:ind w:right="48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供应商：</w:t>
      </w:r>
      <w:r>
        <w:rPr>
          <w:rFonts w:hint="eastAsia" w:ascii="仿宋" w:hAnsi="仿宋" w:eastAsia="仿宋" w:cs="仿宋"/>
          <w:color w:val="auto"/>
          <w:sz w:val="24"/>
          <w:szCs w:val="24"/>
          <w:highlight w:val="none"/>
          <w:u w:val="single"/>
        </w:rPr>
        <w:t xml:space="preserve">             （盖公章）</w:t>
      </w:r>
    </w:p>
    <w:p w14:paraId="2EC6DA07">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日  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6DCB837C">
      <w:pPr>
        <w:spacing w:line="440" w:lineRule="exact"/>
        <w:jc w:val="center"/>
        <w:rPr>
          <w:rFonts w:hint="eastAsia" w:ascii="仿宋" w:hAnsi="仿宋" w:eastAsia="仿宋" w:cs="仿宋"/>
          <w:b/>
          <w:bCs/>
          <w:color w:val="auto"/>
          <w:sz w:val="24"/>
          <w:szCs w:val="24"/>
          <w:highlight w:val="none"/>
        </w:rPr>
      </w:pPr>
    </w:p>
    <w:p w14:paraId="2236BF40">
      <w:pPr>
        <w:spacing w:line="440" w:lineRule="exact"/>
        <w:ind w:firstLine="1200" w:firstLineChars="500"/>
        <w:jc w:val="both"/>
        <w:rPr>
          <w:rFonts w:hint="eastAsia" w:ascii="仿宋" w:hAnsi="仿宋" w:eastAsia="仿宋" w:cs="仿宋"/>
          <w:color w:val="auto"/>
          <w:sz w:val="24"/>
          <w:szCs w:val="24"/>
          <w:highlight w:val="none"/>
        </w:rPr>
      </w:pPr>
    </w:p>
    <w:p w14:paraId="5E409AEE">
      <w:pPr>
        <w:spacing w:line="440" w:lineRule="exact"/>
        <w:ind w:firstLine="1200" w:firstLineChars="500"/>
        <w:jc w:val="both"/>
        <w:rPr>
          <w:rFonts w:hint="eastAsia" w:ascii="仿宋" w:hAnsi="仿宋" w:eastAsia="仿宋" w:cs="仿宋"/>
          <w:color w:val="auto"/>
          <w:sz w:val="24"/>
          <w:szCs w:val="24"/>
          <w:highlight w:val="none"/>
        </w:rPr>
      </w:pPr>
    </w:p>
    <w:p w14:paraId="1F16D95B">
      <w:pPr>
        <w:spacing w:line="440" w:lineRule="exact"/>
        <w:ind w:firstLine="1200" w:firstLineChars="500"/>
        <w:jc w:val="both"/>
        <w:rPr>
          <w:rFonts w:hint="eastAsia" w:ascii="仿宋" w:hAnsi="仿宋" w:eastAsia="仿宋" w:cs="仿宋"/>
          <w:color w:val="auto"/>
          <w:sz w:val="24"/>
          <w:szCs w:val="24"/>
          <w:highlight w:val="none"/>
        </w:rPr>
      </w:pPr>
    </w:p>
    <w:p w14:paraId="77D847A4">
      <w:pPr>
        <w:spacing w:line="440" w:lineRule="exact"/>
        <w:ind w:firstLine="1200" w:firstLineChars="500"/>
        <w:jc w:val="both"/>
        <w:rPr>
          <w:rFonts w:hint="eastAsia" w:ascii="仿宋" w:hAnsi="仿宋" w:eastAsia="仿宋" w:cs="仿宋"/>
          <w:color w:val="auto"/>
          <w:sz w:val="24"/>
          <w:szCs w:val="24"/>
          <w:highlight w:val="none"/>
        </w:rPr>
      </w:pPr>
    </w:p>
    <w:p w14:paraId="7CF8B213">
      <w:pPr>
        <w:spacing w:line="440" w:lineRule="exact"/>
        <w:jc w:val="both"/>
        <w:rPr>
          <w:rFonts w:hint="eastAsia" w:ascii="仿宋" w:hAnsi="仿宋" w:eastAsia="仿宋" w:cs="仿宋"/>
          <w:color w:val="auto"/>
          <w:sz w:val="24"/>
          <w:szCs w:val="24"/>
          <w:highlight w:val="none"/>
        </w:rPr>
      </w:pPr>
    </w:p>
    <w:p w14:paraId="4EC7C8E9">
      <w:pPr>
        <w:spacing w:line="440" w:lineRule="exact"/>
        <w:jc w:val="center"/>
        <w:rPr>
          <w:rFonts w:hint="eastAsia" w:ascii="仿宋" w:hAnsi="仿宋" w:eastAsia="仿宋" w:cs="仿宋"/>
          <w:b/>
          <w:bCs/>
          <w:color w:val="auto"/>
          <w:sz w:val="24"/>
          <w:szCs w:val="24"/>
          <w:highlight w:val="none"/>
        </w:rPr>
      </w:pPr>
    </w:p>
    <w:p w14:paraId="5B0A4365">
      <w:pPr>
        <w:pStyle w:val="78"/>
        <w:spacing w:line="360" w:lineRule="auto"/>
        <w:ind w:left="0"/>
        <w:jc w:val="both"/>
        <w:rPr>
          <w:rFonts w:hint="eastAsia"/>
        </w:rPr>
      </w:pPr>
    </w:p>
    <w:p w14:paraId="7C983C8A">
      <w:pPr>
        <w:pStyle w:val="78"/>
        <w:spacing w:line="360" w:lineRule="auto"/>
        <w:ind w:left="0"/>
        <w:jc w:val="center"/>
        <w:rPr>
          <w:rFonts w:hint="eastAsia" w:ascii="仿宋" w:hAnsi="仿宋" w:eastAsia="仿宋" w:cs="仿宋"/>
          <w:color w:val="auto"/>
          <w:sz w:val="28"/>
          <w:szCs w:val="28"/>
          <w:highlight w:val="none"/>
          <w:lang w:val="en-US" w:eastAsia="zh-CN"/>
        </w:rPr>
      </w:pPr>
      <w:bookmarkStart w:id="988" w:name="_Toc116304876"/>
    </w:p>
    <w:p w14:paraId="0AA3CA73">
      <w:pPr>
        <w:pStyle w:val="78"/>
        <w:spacing w:line="360" w:lineRule="auto"/>
        <w:ind w:left="0"/>
        <w:jc w:val="center"/>
        <w:rPr>
          <w:rFonts w:hint="eastAsia" w:ascii="仿宋" w:hAnsi="仿宋" w:eastAsia="仿宋" w:cs="仿宋"/>
          <w:color w:val="auto"/>
          <w:sz w:val="28"/>
          <w:szCs w:val="28"/>
          <w:highlight w:val="none"/>
          <w:lang w:val="en-US" w:eastAsia="zh-CN"/>
        </w:rPr>
      </w:pPr>
    </w:p>
    <w:p w14:paraId="20C47BB0">
      <w:pPr>
        <w:pStyle w:val="78"/>
        <w:spacing w:line="360" w:lineRule="auto"/>
        <w:ind w:left="0"/>
        <w:jc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w:t>
      </w:r>
    </w:p>
    <w:p w14:paraId="2A200493">
      <w:pPr>
        <w:pStyle w:val="78"/>
        <w:spacing w:line="360" w:lineRule="auto"/>
        <w:ind w:left="0"/>
        <w:jc w:val="cente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格式4、供应商</w:t>
      </w:r>
      <w:r>
        <w:rPr>
          <w:rFonts w:hint="default" w:ascii="仿宋" w:hAnsi="仿宋" w:eastAsia="仿宋" w:cs="仿宋"/>
          <w:color w:val="auto"/>
          <w:sz w:val="28"/>
          <w:szCs w:val="28"/>
          <w:highlight w:val="none"/>
          <w:lang w:val="en-US" w:eastAsia="zh-CN"/>
        </w:rPr>
        <w:t>综合情况简介</w:t>
      </w:r>
      <w:bookmarkEnd w:id="988"/>
    </w:p>
    <w:tbl>
      <w:tblPr>
        <w:tblStyle w:val="30"/>
        <w:tblW w:w="0" w:type="auto"/>
        <w:tblInd w:w="93" w:type="dxa"/>
        <w:tblLayout w:type="fixed"/>
        <w:tblCellMar>
          <w:top w:w="0" w:type="dxa"/>
          <w:left w:w="108" w:type="dxa"/>
          <w:bottom w:w="0" w:type="dxa"/>
          <w:right w:w="108" w:type="dxa"/>
        </w:tblCellMar>
      </w:tblPr>
      <w:tblGrid>
        <w:gridCol w:w="1536"/>
        <w:gridCol w:w="952"/>
        <w:gridCol w:w="1479"/>
        <w:gridCol w:w="1938"/>
        <w:gridCol w:w="1512"/>
        <w:gridCol w:w="675"/>
        <w:gridCol w:w="1828"/>
      </w:tblGrid>
      <w:tr w14:paraId="5CE078F1">
        <w:tblPrEx>
          <w:tblCellMar>
            <w:top w:w="0" w:type="dxa"/>
            <w:left w:w="108" w:type="dxa"/>
            <w:bottom w:w="0" w:type="dxa"/>
            <w:right w:w="108" w:type="dxa"/>
          </w:tblCellMar>
        </w:tblPrEx>
        <w:trPr>
          <w:trHeight w:val="740" w:hRule="atLeast"/>
        </w:trPr>
        <w:tc>
          <w:tcPr>
            <w:tcW w:w="1536" w:type="dxa"/>
            <w:tcBorders>
              <w:top w:val="single" w:color="000000" w:sz="4" w:space="0"/>
              <w:left w:val="single" w:color="000000" w:sz="4" w:space="0"/>
              <w:bottom w:val="single" w:color="000000" w:sz="4" w:space="0"/>
              <w:right w:val="single" w:color="000000" w:sz="4" w:space="0"/>
            </w:tcBorders>
            <w:noWrap w:val="0"/>
            <w:vAlign w:val="center"/>
          </w:tcPr>
          <w:p w14:paraId="399EC5A0">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eastAsia="zh-CN" w:bidi="ar"/>
              </w:rPr>
              <w:t>供应商</w:t>
            </w:r>
            <w:r>
              <w:rPr>
                <w:rFonts w:hint="eastAsia" w:ascii="仿宋" w:hAnsi="仿宋" w:eastAsia="仿宋" w:cs="仿宋"/>
                <w:color w:val="000000"/>
                <w:kern w:val="0"/>
                <w:sz w:val="22"/>
                <w:lang w:bidi="ar"/>
              </w:rPr>
              <w:t>名称</w:t>
            </w:r>
          </w:p>
        </w:tc>
        <w:tc>
          <w:tcPr>
            <w:tcW w:w="8384" w:type="dxa"/>
            <w:gridSpan w:val="6"/>
            <w:tcBorders>
              <w:top w:val="single" w:color="000000" w:sz="4" w:space="0"/>
              <w:left w:val="single" w:color="000000" w:sz="4" w:space="0"/>
              <w:bottom w:val="single" w:color="000000" w:sz="4" w:space="0"/>
              <w:right w:val="single" w:color="000000" w:sz="4" w:space="0"/>
            </w:tcBorders>
            <w:noWrap w:val="0"/>
            <w:vAlign w:val="center"/>
          </w:tcPr>
          <w:p w14:paraId="104FAC55">
            <w:pPr>
              <w:jc w:val="center"/>
              <w:rPr>
                <w:rFonts w:hint="eastAsia" w:ascii="仿宋" w:hAnsi="仿宋" w:eastAsia="仿宋" w:cs="仿宋"/>
                <w:color w:val="000000"/>
                <w:sz w:val="22"/>
              </w:rPr>
            </w:pPr>
          </w:p>
        </w:tc>
      </w:tr>
      <w:tr w14:paraId="5AE417BC">
        <w:tblPrEx>
          <w:tblCellMar>
            <w:top w:w="0" w:type="dxa"/>
            <w:left w:w="108" w:type="dxa"/>
            <w:bottom w:w="0" w:type="dxa"/>
            <w:right w:w="108" w:type="dxa"/>
          </w:tblCellMar>
        </w:tblPrEx>
        <w:trPr>
          <w:trHeight w:val="740" w:hRule="atLeast"/>
        </w:trPr>
        <w:tc>
          <w:tcPr>
            <w:tcW w:w="1536" w:type="dxa"/>
            <w:tcBorders>
              <w:top w:val="single" w:color="000000" w:sz="4" w:space="0"/>
              <w:left w:val="single" w:color="000000" w:sz="4" w:space="0"/>
              <w:bottom w:val="single" w:color="000000" w:sz="4" w:space="0"/>
              <w:right w:val="single" w:color="000000" w:sz="4" w:space="0"/>
            </w:tcBorders>
            <w:noWrap w:val="0"/>
            <w:vAlign w:val="center"/>
          </w:tcPr>
          <w:p w14:paraId="7DE7BF93">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注册地址</w:t>
            </w:r>
          </w:p>
        </w:tc>
        <w:tc>
          <w:tcPr>
            <w:tcW w:w="2431" w:type="dxa"/>
            <w:gridSpan w:val="2"/>
            <w:tcBorders>
              <w:top w:val="single" w:color="000000" w:sz="4" w:space="0"/>
              <w:left w:val="single" w:color="000000" w:sz="4" w:space="0"/>
              <w:bottom w:val="single" w:color="000000" w:sz="4" w:space="0"/>
              <w:right w:val="single" w:color="000000" w:sz="4" w:space="0"/>
            </w:tcBorders>
            <w:noWrap w:val="0"/>
            <w:vAlign w:val="center"/>
          </w:tcPr>
          <w:p w14:paraId="7E40032B">
            <w:pPr>
              <w:jc w:val="center"/>
              <w:rPr>
                <w:rFonts w:hint="eastAsia" w:ascii="仿宋" w:hAnsi="仿宋" w:eastAsia="仿宋" w:cs="仿宋"/>
                <w:color w:val="000000"/>
                <w:sz w:val="22"/>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217B1499">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邮政编码</w:t>
            </w:r>
          </w:p>
        </w:tc>
        <w:tc>
          <w:tcPr>
            <w:tcW w:w="4015" w:type="dxa"/>
            <w:gridSpan w:val="3"/>
            <w:tcBorders>
              <w:top w:val="single" w:color="000000" w:sz="4" w:space="0"/>
              <w:left w:val="single" w:color="000000" w:sz="4" w:space="0"/>
              <w:bottom w:val="single" w:color="000000" w:sz="4" w:space="0"/>
              <w:right w:val="single" w:color="000000" w:sz="4" w:space="0"/>
            </w:tcBorders>
            <w:noWrap w:val="0"/>
            <w:vAlign w:val="center"/>
          </w:tcPr>
          <w:p w14:paraId="1D978A23">
            <w:pPr>
              <w:jc w:val="center"/>
              <w:rPr>
                <w:rFonts w:hint="eastAsia" w:ascii="仿宋" w:hAnsi="仿宋" w:eastAsia="仿宋" w:cs="仿宋"/>
                <w:color w:val="000000"/>
                <w:sz w:val="22"/>
              </w:rPr>
            </w:pPr>
          </w:p>
        </w:tc>
      </w:tr>
      <w:tr w14:paraId="5E833BD3">
        <w:tblPrEx>
          <w:tblCellMar>
            <w:top w:w="0" w:type="dxa"/>
            <w:left w:w="108" w:type="dxa"/>
            <w:bottom w:w="0" w:type="dxa"/>
            <w:right w:w="108" w:type="dxa"/>
          </w:tblCellMar>
        </w:tblPrEx>
        <w:trPr>
          <w:trHeight w:val="740" w:hRule="atLeast"/>
        </w:trPr>
        <w:tc>
          <w:tcPr>
            <w:tcW w:w="1536" w:type="dxa"/>
            <w:vMerge w:val="restart"/>
            <w:tcBorders>
              <w:top w:val="single" w:color="000000" w:sz="4" w:space="0"/>
              <w:left w:val="single" w:color="000000" w:sz="4" w:space="0"/>
              <w:bottom w:val="single" w:color="000000" w:sz="4" w:space="0"/>
              <w:right w:val="single" w:color="000000" w:sz="4" w:space="0"/>
            </w:tcBorders>
            <w:noWrap w:val="0"/>
            <w:vAlign w:val="center"/>
          </w:tcPr>
          <w:p w14:paraId="771B3EAA">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联系方式</w:t>
            </w:r>
          </w:p>
        </w:tc>
        <w:tc>
          <w:tcPr>
            <w:tcW w:w="952" w:type="dxa"/>
            <w:tcBorders>
              <w:top w:val="single" w:color="000000" w:sz="4" w:space="0"/>
              <w:left w:val="single" w:color="000000" w:sz="4" w:space="0"/>
              <w:bottom w:val="single" w:color="000000" w:sz="4" w:space="0"/>
              <w:right w:val="single" w:color="000000" w:sz="4" w:space="0"/>
            </w:tcBorders>
            <w:noWrap w:val="0"/>
            <w:vAlign w:val="center"/>
          </w:tcPr>
          <w:p w14:paraId="639CC46E">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联系人</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1BD82319">
            <w:pPr>
              <w:rPr>
                <w:rFonts w:hint="eastAsia" w:ascii="仿宋" w:hAnsi="仿宋" w:eastAsia="仿宋" w:cs="仿宋"/>
                <w:color w:val="000000"/>
                <w:sz w:val="22"/>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13295C13">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电话</w:t>
            </w:r>
          </w:p>
        </w:tc>
        <w:tc>
          <w:tcPr>
            <w:tcW w:w="4015" w:type="dxa"/>
            <w:gridSpan w:val="3"/>
            <w:tcBorders>
              <w:top w:val="single" w:color="000000" w:sz="4" w:space="0"/>
              <w:left w:val="single" w:color="000000" w:sz="4" w:space="0"/>
              <w:bottom w:val="single" w:color="000000" w:sz="4" w:space="0"/>
              <w:right w:val="single" w:color="000000" w:sz="4" w:space="0"/>
            </w:tcBorders>
            <w:noWrap w:val="0"/>
            <w:vAlign w:val="center"/>
          </w:tcPr>
          <w:p w14:paraId="6FC748AF">
            <w:pPr>
              <w:rPr>
                <w:rFonts w:hint="eastAsia" w:ascii="仿宋" w:hAnsi="仿宋" w:eastAsia="仿宋" w:cs="仿宋"/>
                <w:color w:val="000000"/>
                <w:sz w:val="22"/>
              </w:rPr>
            </w:pPr>
          </w:p>
        </w:tc>
      </w:tr>
      <w:tr w14:paraId="0C95047C">
        <w:tblPrEx>
          <w:tblCellMar>
            <w:top w:w="0" w:type="dxa"/>
            <w:left w:w="108" w:type="dxa"/>
            <w:bottom w:w="0" w:type="dxa"/>
            <w:right w:w="108" w:type="dxa"/>
          </w:tblCellMar>
        </w:tblPrEx>
        <w:trPr>
          <w:trHeight w:val="745" w:hRule="atLeast"/>
        </w:trPr>
        <w:tc>
          <w:tcPr>
            <w:tcW w:w="15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7D8C1B">
            <w:pPr>
              <w:jc w:val="center"/>
              <w:rPr>
                <w:rFonts w:hint="eastAsia" w:ascii="仿宋" w:hAnsi="仿宋" w:eastAsia="仿宋" w:cs="仿宋"/>
                <w:color w:val="000000"/>
                <w:sz w:val="22"/>
              </w:rPr>
            </w:pPr>
          </w:p>
        </w:tc>
        <w:tc>
          <w:tcPr>
            <w:tcW w:w="952" w:type="dxa"/>
            <w:tcBorders>
              <w:top w:val="single" w:color="000000" w:sz="4" w:space="0"/>
              <w:left w:val="single" w:color="000000" w:sz="4" w:space="0"/>
              <w:bottom w:val="single" w:color="000000" w:sz="4" w:space="0"/>
              <w:right w:val="single" w:color="000000" w:sz="4" w:space="0"/>
            </w:tcBorders>
            <w:noWrap w:val="0"/>
            <w:vAlign w:val="center"/>
          </w:tcPr>
          <w:p w14:paraId="7F7FF2B2">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传真</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1798357E">
            <w:pPr>
              <w:rPr>
                <w:rFonts w:hint="eastAsia" w:ascii="仿宋" w:hAnsi="仿宋" w:eastAsia="仿宋" w:cs="仿宋"/>
                <w:color w:val="000000"/>
                <w:sz w:val="22"/>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28C31A47">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网址</w:t>
            </w:r>
          </w:p>
        </w:tc>
        <w:tc>
          <w:tcPr>
            <w:tcW w:w="4015" w:type="dxa"/>
            <w:gridSpan w:val="3"/>
            <w:tcBorders>
              <w:top w:val="single" w:color="000000" w:sz="4" w:space="0"/>
              <w:left w:val="single" w:color="000000" w:sz="4" w:space="0"/>
              <w:bottom w:val="single" w:color="000000" w:sz="4" w:space="0"/>
              <w:right w:val="single" w:color="000000" w:sz="4" w:space="0"/>
            </w:tcBorders>
            <w:noWrap w:val="0"/>
            <w:vAlign w:val="center"/>
          </w:tcPr>
          <w:p w14:paraId="7BAC084F">
            <w:pPr>
              <w:rPr>
                <w:rFonts w:hint="eastAsia" w:ascii="仿宋" w:hAnsi="仿宋" w:eastAsia="仿宋" w:cs="仿宋"/>
                <w:color w:val="000000"/>
                <w:sz w:val="22"/>
              </w:rPr>
            </w:pPr>
          </w:p>
        </w:tc>
      </w:tr>
      <w:tr w14:paraId="7710EFAF">
        <w:tblPrEx>
          <w:tblCellMar>
            <w:top w:w="0" w:type="dxa"/>
            <w:left w:w="108" w:type="dxa"/>
            <w:bottom w:w="0" w:type="dxa"/>
            <w:right w:w="108" w:type="dxa"/>
          </w:tblCellMar>
        </w:tblPrEx>
        <w:trPr>
          <w:trHeight w:val="1100" w:hRule="atLeast"/>
        </w:trPr>
        <w:tc>
          <w:tcPr>
            <w:tcW w:w="1536" w:type="dxa"/>
            <w:tcBorders>
              <w:top w:val="single" w:color="000000" w:sz="4" w:space="0"/>
              <w:left w:val="single" w:color="000000" w:sz="4" w:space="0"/>
              <w:bottom w:val="single" w:color="000000" w:sz="4" w:space="0"/>
              <w:right w:val="single" w:color="000000" w:sz="4" w:space="0"/>
            </w:tcBorders>
            <w:noWrap w:val="0"/>
            <w:vAlign w:val="center"/>
          </w:tcPr>
          <w:p w14:paraId="515714DB">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组织机构 （统一社会信用代码）</w:t>
            </w:r>
          </w:p>
        </w:tc>
        <w:tc>
          <w:tcPr>
            <w:tcW w:w="8384" w:type="dxa"/>
            <w:gridSpan w:val="6"/>
            <w:tcBorders>
              <w:top w:val="single" w:color="000000" w:sz="4" w:space="0"/>
              <w:left w:val="single" w:color="000000" w:sz="4" w:space="0"/>
              <w:bottom w:val="single" w:color="000000" w:sz="4" w:space="0"/>
              <w:right w:val="single" w:color="000000" w:sz="4" w:space="0"/>
            </w:tcBorders>
            <w:noWrap w:val="0"/>
            <w:vAlign w:val="center"/>
          </w:tcPr>
          <w:p w14:paraId="20DE9FBA">
            <w:pPr>
              <w:rPr>
                <w:rFonts w:hint="eastAsia" w:ascii="仿宋" w:hAnsi="仿宋" w:eastAsia="仿宋" w:cs="仿宋"/>
                <w:color w:val="000000"/>
                <w:sz w:val="22"/>
              </w:rPr>
            </w:pPr>
          </w:p>
        </w:tc>
      </w:tr>
      <w:tr w14:paraId="7609B207">
        <w:tblPrEx>
          <w:tblCellMar>
            <w:top w:w="0" w:type="dxa"/>
            <w:left w:w="108" w:type="dxa"/>
            <w:bottom w:w="0" w:type="dxa"/>
            <w:right w:w="108" w:type="dxa"/>
          </w:tblCellMar>
        </w:tblPrEx>
        <w:trPr>
          <w:trHeight w:val="740" w:hRule="atLeast"/>
        </w:trPr>
        <w:tc>
          <w:tcPr>
            <w:tcW w:w="1536" w:type="dxa"/>
            <w:tcBorders>
              <w:top w:val="single" w:color="000000" w:sz="4" w:space="0"/>
              <w:left w:val="single" w:color="000000" w:sz="4" w:space="0"/>
              <w:bottom w:val="single" w:color="000000" w:sz="4" w:space="0"/>
              <w:right w:val="single" w:color="000000" w:sz="4" w:space="0"/>
            </w:tcBorders>
            <w:noWrap w:val="0"/>
            <w:vAlign w:val="center"/>
          </w:tcPr>
          <w:p w14:paraId="6400C152">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法定代表人</w:t>
            </w:r>
          </w:p>
        </w:tc>
        <w:tc>
          <w:tcPr>
            <w:tcW w:w="952" w:type="dxa"/>
            <w:tcBorders>
              <w:top w:val="single" w:color="000000" w:sz="4" w:space="0"/>
              <w:left w:val="single" w:color="000000" w:sz="4" w:space="0"/>
              <w:bottom w:val="single" w:color="000000" w:sz="4" w:space="0"/>
              <w:right w:val="single" w:color="000000" w:sz="4" w:space="0"/>
            </w:tcBorders>
            <w:noWrap w:val="0"/>
            <w:vAlign w:val="center"/>
          </w:tcPr>
          <w:p w14:paraId="4A3126E7">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姓名</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2B36CB8A">
            <w:pPr>
              <w:rPr>
                <w:rFonts w:hint="eastAsia" w:ascii="仿宋" w:hAnsi="仿宋" w:eastAsia="仿宋" w:cs="仿宋"/>
                <w:color w:val="000000"/>
                <w:sz w:val="22"/>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5BBAAEC7">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技术职称</w:t>
            </w:r>
          </w:p>
        </w:tc>
        <w:tc>
          <w:tcPr>
            <w:tcW w:w="1512" w:type="dxa"/>
            <w:tcBorders>
              <w:top w:val="single" w:color="000000" w:sz="4" w:space="0"/>
              <w:left w:val="single" w:color="000000" w:sz="4" w:space="0"/>
              <w:bottom w:val="single" w:color="000000" w:sz="4" w:space="0"/>
              <w:right w:val="single" w:color="000000" w:sz="4" w:space="0"/>
            </w:tcBorders>
            <w:noWrap w:val="0"/>
            <w:vAlign w:val="center"/>
          </w:tcPr>
          <w:p w14:paraId="03E98736">
            <w:pPr>
              <w:rPr>
                <w:rFonts w:hint="eastAsia" w:ascii="仿宋" w:hAnsi="仿宋" w:eastAsia="仿宋" w:cs="仿宋"/>
                <w:color w:val="000000"/>
                <w:sz w:val="22"/>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FCF5433">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电话</w:t>
            </w:r>
          </w:p>
        </w:tc>
        <w:tc>
          <w:tcPr>
            <w:tcW w:w="1828" w:type="dxa"/>
            <w:tcBorders>
              <w:top w:val="single" w:color="000000" w:sz="4" w:space="0"/>
              <w:left w:val="single" w:color="000000" w:sz="4" w:space="0"/>
              <w:bottom w:val="single" w:color="000000" w:sz="4" w:space="0"/>
              <w:right w:val="single" w:color="000000" w:sz="4" w:space="0"/>
            </w:tcBorders>
            <w:noWrap w:val="0"/>
            <w:vAlign w:val="center"/>
          </w:tcPr>
          <w:p w14:paraId="74B032B7">
            <w:pPr>
              <w:rPr>
                <w:rFonts w:hint="eastAsia" w:ascii="仿宋" w:hAnsi="仿宋" w:eastAsia="仿宋" w:cs="仿宋"/>
                <w:color w:val="000000"/>
                <w:sz w:val="22"/>
              </w:rPr>
            </w:pPr>
          </w:p>
        </w:tc>
      </w:tr>
      <w:tr w14:paraId="0F416D0B">
        <w:tblPrEx>
          <w:tblCellMar>
            <w:top w:w="0" w:type="dxa"/>
            <w:left w:w="108" w:type="dxa"/>
            <w:bottom w:w="0" w:type="dxa"/>
            <w:right w:w="108" w:type="dxa"/>
          </w:tblCellMar>
        </w:tblPrEx>
        <w:trPr>
          <w:trHeight w:val="740" w:hRule="atLeast"/>
        </w:trPr>
        <w:tc>
          <w:tcPr>
            <w:tcW w:w="1536" w:type="dxa"/>
            <w:tcBorders>
              <w:top w:val="single" w:color="000000" w:sz="4" w:space="0"/>
              <w:left w:val="single" w:color="000000" w:sz="4" w:space="0"/>
              <w:bottom w:val="single" w:color="000000" w:sz="4" w:space="0"/>
              <w:right w:val="single" w:color="000000" w:sz="4" w:space="0"/>
            </w:tcBorders>
            <w:noWrap w:val="0"/>
            <w:vAlign w:val="center"/>
          </w:tcPr>
          <w:p w14:paraId="2C73F91D">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技术负责人</w:t>
            </w:r>
          </w:p>
        </w:tc>
        <w:tc>
          <w:tcPr>
            <w:tcW w:w="952" w:type="dxa"/>
            <w:tcBorders>
              <w:top w:val="single" w:color="000000" w:sz="4" w:space="0"/>
              <w:left w:val="single" w:color="000000" w:sz="4" w:space="0"/>
              <w:bottom w:val="single" w:color="000000" w:sz="4" w:space="0"/>
              <w:right w:val="single" w:color="000000" w:sz="4" w:space="0"/>
            </w:tcBorders>
            <w:noWrap w:val="0"/>
            <w:vAlign w:val="center"/>
          </w:tcPr>
          <w:p w14:paraId="6379EB9F">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姓名</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4CD599A0">
            <w:pPr>
              <w:rPr>
                <w:rFonts w:hint="eastAsia" w:ascii="仿宋" w:hAnsi="仿宋" w:eastAsia="仿宋" w:cs="仿宋"/>
                <w:color w:val="000000"/>
                <w:sz w:val="22"/>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27D2EE54">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技术职称</w:t>
            </w:r>
          </w:p>
        </w:tc>
        <w:tc>
          <w:tcPr>
            <w:tcW w:w="1512" w:type="dxa"/>
            <w:tcBorders>
              <w:top w:val="single" w:color="000000" w:sz="4" w:space="0"/>
              <w:left w:val="single" w:color="000000" w:sz="4" w:space="0"/>
              <w:bottom w:val="single" w:color="000000" w:sz="4" w:space="0"/>
              <w:right w:val="single" w:color="000000" w:sz="4" w:space="0"/>
            </w:tcBorders>
            <w:noWrap w:val="0"/>
            <w:vAlign w:val="center"/>
          </w:tcPr>
          <w:p w14:paraId="0823FAEB">
            <w:pPr>
              <w:rPr>
                <w:rFonts w:hint="eastAsia" w:ascii="仿宋" w:hAnsi="仿宋" w:eastAsia="仿宋" w:cs="仿宋"/>
                <w:color w:val="000000"/>
                <w:sz w:val="22"/>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73D75E3">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电话</w:t>
            </w:r>
          </w:p>
        </w:tc>
        <w:tc>
          <w:tcPr>
            <w:tcW w:w="1828" w:type="dxa"/>
            <w:tcBorders>
              <w:top w:val="single" w:color="000000" w:sz="4" w:space="0"/>
              <w:left w:val="single" w:color="000000" w:sz="4" w:space="0"/>
              <w:bottom w:val="single" w:color="000000" w:sz="4" w:space="0"/>
              <w:right w:val="single" w:color="000000" w:sz="4" w:space="0"/>
            </w:tcBorders>
            <w:noWrap w:val="0"/>
            <w:vAlign w:val="center"/>
          </w:tcPr>
          <w:p w14:paraId="1AFA6DFB">
            <w:pPr>
              <w:rPr>
                <w:rFonts w:hint="eastAsia" w:ascii="仿宋" w:hAnsi="仿宋" w:eastAsia="仿宋" w:cs="仿宋"/>
                <w:color w:val="000000"/>
                <w:sz w:val="22"/>
              </w:rPr>
            </w:pPr>
          </w:p>
        </w:tc>
      </w:tr>
      <w:tr w14:paraId="60FD7038">
        <w:tblPrEx>
          <w:tblCellMar>
            <w:top w:w="0" w:type="dxa"/>
            <w:left w:w="108" w:type="dxa"/>
            <w:bottom w:w="0" w:type="dxa"/>
            <w:right w:w="108" w:type="dxa"/>
          </w:tblCellMar>
        </w:tblPrEx>
        <w:trPr>
          <w:trHeight w:val="740" w:hRule="atLeast"/>
        </w:trPr>
        <w:tc>
          <w:tcPr>
            <w:tcW w:w="1536" w:type="dxa"/>
            <w:tcBorders>
              <w:top w:val="single" w:color="000000" w:sz="4" w:space="0"/>
              <w:left w:val="single" w:color="000000" w:sz="4" w:space="0"/>
              <w:bottom w:val="single" w:color="000000" w:sz="4" w:space="0"/>
              <w:right w:val="single" w:color="000000" w:sz="4" w:space="0"/>
            </w:tcBorders>
            <w:noWrap w:val="0"/>
            <w:vAlign w:val="center"/>
          </w:tcPr>
          <w:p w14:paraId="72190543">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成立时间</w:t>
            </w:r>
          </w:p>
        </w:tc>
        <w:tc>
          <w:tcPr>
            <w:tcW w:w="2431" w:type="dxa"/>
            <w:gridSpan w:val="2"/>
            <w:tcBorders>
              <w:top w:val="single" w:color="000000" w:sz="4" w:space="0"/>
              <w:left w:val="single" w:color="000000" w:sz="4" w:space="0"/>
              <w:bottom w:val="single" w:color="000000" w:sz="4" w:space="0"/>
              <w:right w:val="single" w:color="000000" w:sz="4" w:space="0"/>
            </w:tcBorders>
            <w:noWrap w:val="0"/>
            <w:vAlign w:val="center"/>
          </w:tcPr>
          <w:p w14:paraId="71DD3137">
            <w:pPr>
              <w:jc w:val="center"/>
              <w:rPr>
                <w:rFonts w:hint="eastAsia" w:ascii="仿宋" w:hAnsi="仿宋" w:eastAsia="仿宋" w:cs="仿宋"/>
                <w:color w:val="000000"/>
                <w:sz w:val="22"/>
              </w:rPr>
            </w:pPr>
          </w:p>
        </w:tc>
        <w:tc>
          <w:tcPr>
            <w:tcW w:w="5953" w:type="dxa"/>
            <w:gridSpan w:val="4"/>
            <w:tcBorders>
              <w:top w:val="single" w:color="000000" w:sz="4" w:space="0"/>
              <w:left w:val="single" w:color="000000" w:sz="4" w:space="0"/>
              <w:bottom w:val="single" w:color="000000" w:sz="4" w:space="0"/>
              <w:right w:val="single" w:color="000000" w:sz="4" w:space="0"/>
            </w:tcBorders>
            <w:noWrap w:val="0"/>
            <w:vAlign w:val="center"/>
          </w:tcPr>
          <w:p w14:paraId="656C449C">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员工人数：</w:t>
            </w:r>
          </w:p>
        </w:tc>
      </w:tr>
      <w:tr w14:paraId="6F4B7B5E">
        <w:tblPrEx>
          <w:tblCellMar>
            <w:top w:w="0" w:type="dxa"/>
            <w:left w:w="108" w:type="dxa"/>
            <w:bottom w:w="0" w:type="dxa"/>
            <w:right w:w="108" w:type="dxa"/>
          </w:tblCellMar>
        </w:tblPrEx>
        <w:trPr>
          <w:trHeight w:val="605" w:hRule="atLeast"/>
        </w:trPr>
        <w:tc>
          <w:tcPr>
            <w:tcW w:w="1536" w:type="dxa"/>
            <w:tcBorders>
              <w:top w:val="single" w:color="000000" w:sz="4" w:space="0"/>
              <w:left w:val="single" w:color="000000" w:sz="4" w:space="0"/>
              <w:bottom w:val="single" w:color="000000" w:sz="4" w:space="0"/>
              <w:right w:val="single" w:color="000000" w:sz="4" w:space="0"/>
            </w:tcBorders>
            <w:noWrap w:val="0"/>
            <w:vAlign w:val="center"/>
          </w:tcPr>
          <w:p w14:paraId="0037EE14">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企业资质等级</w:t>
            </w:r>
          </w:p>
        </w:tc>
        <w:tc>
          <w:tcPr>
            <w:tcW w:w="2431" w:type="dxa"/>
            <w:gridSpan w:val="2"/>
            <w:tcBorders>
              <w:top w:val="single" w:color="000000" w:sz="4" w:space="0"/>
              <w:left w:val="single" w:color="000000" w:sz="4" w:space="0"/>
              <w:bottom w:val="single" w:color="000000" w:sz="4" w:space="0"/>
              <w:right w:val="single" w:color="000000" w:sz="4" w:space="0"/>
            </w:tcBorders>
            <w:noWrap w:val="0"/>
            <w:vAlign w:val="center"/>
          </w:tcPr>
          <w:p w14:paraId="4B8EC7AB">
            <w:pPr>
              <w:jc w:val="center"/>
              <w:rPr>
                <w:rFonts w:hint="eastAsia" w:ascii="仿宋" w:hAnsi="仿宋" w:eastAsia="仿宋" w:cs="仿宋"/>
                <w:color w:val="000000"/>
                <w:sz w:val="22"/>
              </w:rPr>
            </w:pPr>
          </w:p>
        </w:tc>
        <w:tc>
          <w:tcPr>
            <w:tcW w:w="1938" w:type="dxa"/>
            <w:vMerge w:val="restart"/>
            <w:tcBorders>
              <w:top w:val="single" w:color="000000" w:sz="4" w:space="0"/>
              <w:left w:val="single" w:color="000000" w:sz="4" w:space="0"/>
              <w:bottom w:val="single" w:color="000000" w:sz="4" w:space="0"/>
              <w:right w:val="single" w:color="000000" w:sz="4" w:space="0"/>
            </w:tcBorders>
            <w:noWrap w:val="0"/>
            <w:vAlign w:val="center"/>
          </w:tcPr>
          <w:p w14:paraId="79A0F0EB">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其中</w:t>
            </w:r>
          </w:p>
        </w:tc>
        <w:tc>
          <w:tcPr>
            <w:tcW w:w="2187" w:type="dxa"/>
            <w:gridSpan w:val="2"/>
            <w:tcBorders>
              <w:top w:val="single" w:color="000000" w:sz="4" w:space="0"/>
              <w:left w:val="single" w:color="000000" w:sz="4" w:space="0"/>
              <w:bottom w:val="single" w:color="000000" w:sz="4" w:space="0"/>
              <w:right w:val="single" w:color="000000" w:sz="4" w:space="0"/>
            </w:tcBorders>
            <w:noWrap w:val="0"/>
            <w:vAlign w:val="center"/>
          </w:tcPr>
          <w:p w14:paraId="4208ECB2">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项目经理</w:t>
            </w:r>
          </w:p>
        </w:tc>
        <w:tc>
          <w:tcPr>
            <w:tcW w:w="1828" w:type="dxa"/>
            <w:tcBorders>
              <w:top w:val="single" w:color="000000" w:sz="4" w:space="0"/>
              <w:left w:val="single" w:color="000000" w:sz="4" w:space="0"/>
              <w:bottom w:val="single" w:color="000000" w:sz="4" w:space="0"/>
              <w:right w:val="single" w:color="000000" w:sz="4" w:space="0"/>
            </w:tcBorders>
            <w:noWrap w:val="0"/>
            <w:vAlign w:val="center"/>
          </w:tcPr>
          <w:p w14:paraId="3F239D99">
            <w:pPr>
              <w:rPr>
                <w:rFonts w:hint="eastAsia" w:ascii="仿宋" w:hAnsi="仿宋" w:eastAsia="仿宋" w:cs="仿宋"/>
                <w:color w:val="000000"/>
                <w:sz w:val="22"/>
              </w:rPr>
            </w:pPr>
          </w:p>
        </w:tc>
      </w:tr>
      <w:tr w14:paraId="28DF6F8E">
        <w:tblPrEx>
          <w:tblCellMar>
            <w:top w:w="0" w:type="dxa"/>
            <w:left w:w="108" w:type="dxa"/>
            <w:bottom w:w="0" w:type="dxa"/>
            <w:right w:w="108" w:type="dxa"/>
          </w:tblCellMar>
        </w:tblPrEx>
        <w:trPr>
          <w:trHeight w:val="426" w:hRule="atLeast"/>
        </w:trPr>
        <w:tc>
          <w:tcPr>
            <w:tcW w:w="1536" w:type="dxa"/>
            <w:tcBorders>
              <w:top w:val="single" w:color="000000" w:sz="4" w:space="0"/>
              <w:left w:val="single" w:color="000000" w:sz="4" w:space="0"/>
              <w:bottom w:val="single" w:color="000000" w:sz="4" w:space="0"/>
              <w:right w:val="single" w:color="000000" w:sz="4" w:space="0"/>
            </w:tcBorders>
            <w:noWrap w:val="0"/>
            <w:vAlign w:val="center"/>
          </w:tcPr>
          <w:p w14:paraId="17AF4A4D">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营业执照号</w:t>
            </w:r>
          </w:p>
        </w:tc>
        <w:tc>
          <w:tcPr>
            <w:tcW w:w="2431" w:type="dxa"/>
            <w:gridSpan w:val="2"/>
            <w:tcBorders>
              <w:top w:val="single" w:color="000000" w:sz="4" w:space="0"/>
              <w:left w:val="single" w:color="000000" w:sz="4" w:space="0"/>
              <w:bottom w:val="single" w:color="000000" w:sz="4" w:space="0"/>
              <w:right w:val="single" w:color="000000" w:sz="4" w:space="0"/>
            </w:tcBorders>
            <w:noWrap w:val="0"/>
            <w:vAlign w:val="center"/>
          </w:tcPr>
          <w:p w14:paraId="7BD45A6D">
            <w:pPr>
              <w:jc w:val="center"/>
              <w:rPr>
                <w:rFonts w:hint="eastAsia" w:ascii="仿宋" w:hAnsi="仿宋" w:eastAsia="仿宋" w:cs="仿宋"/>
                <w:color w:val="000000"/>
                <w:sz w:val="22"/>
              </w:rPr>
            </w:pPr>
          </w:p>
        </w:tc>
        <w:tc>
          <w:tcPr>
            <w:tcW w:w="19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C8E4ED">
            <w:pPr>
              <w:jc w:val="center"/>
              <w:rPr>
                <w:rFonts w:hint="eastAsia" w:ascii="仿宋" w:hAnsi="仿宋" w:eastAsia="仿宋" w:cs="仿宋"/>
                <w:color w:val="000000"/>
                <w:sz w:val="22"/>
              </w:rPr>
            </w:pPr>
          </w:p>
        </w:tc>
        <w:tc>
          <w:tcPr>
            <w:tcW w:w="2187" w:type="dxa"/>
            <w:gridSpan w:val="2"/>
            <w:tcBorders>
              <w:top w:val="single" w:color="000000" w:sz="4" w:space="0"/>
              <w:left w:val="single" w:color="000000" w:sz="4" w:space="0"/>
              <w:bottom w:val="single" w:color="000000" w:sz="4" w:space="0"/>
              <w:right w:val="single" w:color="000000" w:sz="4" w:space="0"/>
            </w:tcBorders>
            <w:noWrap w:val="0"/>
            <w:vAlign w:val="center"/>
          </w:tcPr>
          <w:p w14:paraId="2458E17B">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高级职称人员</w:t>
            </w:r>
          </w:p>
        </w:tc>
        <w:tc>
          <w:tcPr>
            <w:tcW w:w="1828" w:type="dxa"/>
            <w:tcBorders>
              <w:top w:val="single" w:color="000000" w:sz="4" w:space="0"/>
              <w:left w:val="single" w:color="000000" w:sz="4" w:space="0"/>
              <w:bottom w:val="single" w:color="000000" w:sz="4" w:space="0"/>
              <w:right w:val="single" w:color="000000" w:sz="4" w:space="0"/>
            </w:tcBorders>
            <w:noWrap w:val="0"/>
            <w:vAlign w:val="center"/>
          </w:tcPr>
          <w:p w14:paraId="1226993E">
            <w:pPr>
              <w:rPr>
                <w:rFonts w:hint="eastAsia" w:ascii="仿宋" w:hAnsi="仿宋" w:eastAsia="仿宋" w:cs="仿宋"/>
                <w:color w:val="000000"/>
                <w:sz w:val="22"/>
              </w:rPr>
            </w:pPr>
          </w:p>
        </w:tc>
      </w:tr>
      <w:tr w14:paraId="4D1DA877">
        <w:tblPrEx>
          <w:tblCellMar>
            <w:top w:w="0" w:type="dxa"/>
            <w:left w:w="108" w:type="dxa"/>
            <w:bottom w:w="0" w:type="dxa"/>
            <w:right w:w="108" w:type="dxa"/>
          </w:tblCellMar>
        </w:tblPrEx>
        <w:trPr>
          <w:trHeight w:val="480" w:hRule="atLeast"/>
        </w:trPr>
        <w:tc>
          <w:tcPr>
            <w:tcW w:w="1536" w:type="dxa"/>
            <w:tcBorders>
              <w:top w:val="single" w:color="000000" w:sz="4" w:space="0"/>
              <w:left w:val="single" w:color="000000" w:sz="4" w:space="0"/>
              <w:bottom w:val="single" w:color="000000" w:sz="4" w:space="0"/>
              <w:right w:val="single" w:color="000000" w:sz="4" w:space="0"/>
            </w:tcBorders>
            <w:noWrap w:val="0"/>
            <w:vAlign w:val="center"/>
          </w:tcPr>
          <w:p w14:paraId="5E19C02B">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注册资金</w:t>
            </w:r>
          </w:p>
        </w:tc>
        <w:tc>
          <w:tcPr>
            <w:tcW w:w="2431" w:type="dxa"/>
            <w:gridSpan w:val="2"/>
            <w:tcBorders>
              <w:top w:val="single" w:color="000000" w:sz="4" w:space="0"/>
              <w:left w:val="single" w:color="000000" w:sz="4" w:space="0"/>
              <w:bottom w:val="single" w:color="000000" w:sz="4" w:space="0"/>
              <w:right w:val="single" w:color="000000" w:sz="4" w:space="0"/>
            </w:tcBorders>
            <w:noWrap w:val="0"/>
            <w:vAlign w:val="center"/>
          </w:tcPr>
          <w:p w14:paraId="1BA897C3">
            <w:pPr>
              <w:jc w:val="center"/>
              <w:rPr>
                <w:rFonts w:hint="eastAsia" w:ascii="仿宋" w:hAnsi="仿宋" w:eastAsia="仿宋" w:cs="仿宋"/>
                <w:color w:val="000000"/>
                <w:sz w:val="22"/>
              </w:rPr>
            </w:pPr>
          </w:p>
        </w:tc>
        <w:tc>
          <w:tcPr>
            <w:tcW w:w="19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B8323">
            <w:pPr>
              <w:jc w:val="center"/>
              <w:rPr>
                <w:rFonts w:hint="eastAsia" w:ascii="仿宋" w:hAnsi="仿宋" w:eastAsia="仿宋" w:cs="仿宋"/>
                <w:color w:val="000000"/>
                <w:sz w:val="22"/>
              </w:rPr>
            </w:pPr>
          </w:p>
        </w:tc>
        <w:tc>
          <w:tcPr>
            <w:tcW w:w="2187" w:type="dxa"/>
            <w:gridSpan w:val="2"/>
            <w:tcBorders>
              <w:top w:val="single" w:color="000000" w:sz="4" w:space="0"/>
              <w:left w:val="single" w:color="000000" w:sz="4" w:space="0"/>
              <w:bottom w:val="single" w:color="000000" w:sz="4" w:space="0"/>
              <w:right w:val="single" w:color="000000" w:sz="4" w:space="0"/>
            </w:tcBorders>
            <w:noWrap w:val="0"/>
            <w:vAlign w:val="center"/>
          </w:tcPr>
          <w:p w14:paraId="3624B7F2">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lang w:eastAsia="zh-CN" w:bidi="ar"/>
              </w:rPr>
              <w:t>中级</w:t>
            </w:r>
            <w:r>
              <w:rPr>
                <w:rFonts w:hint="eastAsia" w:ascii="仿宋" w:hAnsi="仿宋" w:eastAsia="仿宋" w:cs="仿宋"/>
                <w:color w:val="000000"/>
                <w:kern w:val="0"/>
                <w:sz w:val="22"/>
                <w:lang w:bidi="ar"/>
              </w:rPr>
              <w:t>职称人员</w:t>
            </w:r>
          </w:p>
        </w:tc>
        <w:tc>
          <w:tcPr>
            <w:tcW w:w="1828" w:type="dxa"/>
            <w:tcBorders>
              <w:top w:val="single" w:color="000000" w:sz="4" w:space="0"/>
              <w:left w:val="single" w:color="000000" w:sz="4" w:space="0"/>
              <w:bottom w:val="single" w:color="000000" w:sz="4" w:space="0"/>
              <w:right w:val="single" w:color="000000" w:sz="4" w:space="0"/>
            </w:tcBorders>
            <w:noWrap w:val="0"/>
            <w:vAlign w:val="center"/>
          </w:tcPr>
          <w:p w14:paraId="54C031A1">
            <w:pPr>
              <w:rPr>
                <w:rFonts w:hint="eastAsia" w:ascii="仿宋" w:hAnsi="仿宋" w:eastAsia="仿宋" w:cs="仿宋"/>
                <w:color w:val="000000"/>
                <w:sz w:val="22"/>
              </w:rPr>
            </w:pPr>
          </w:p>
        </w:tc>
      </w:tr>
      <w:tr w14:paraId="7331DF16">
        <w:tblPrEx>
          <w:tblCellMar>
            <w:top w:w="0" w:type="dxa"/>
            <w:left w:w="108" w:type="dxa"/>
            <w:bottom w:w="0" w:type="dxa"/>
            <w:right w:w="108" w:type="dxa"/>
          </w:tblCellMar>
        </w:tblPrEx>
        <w:trPr>
          <w:trHeight w:val="516" w:hRule="atLeast"/>
        </w:trPr>
        <w:tc>
          <w:tcPr>
            <w:tcW w:w="1536" w:type="dxa"/>
            <w:tcBorders>
              <w:top w:val="single" w:color="000000" w:sz="4" w:space="0"/>
              <w:left w:val="single" w:color="000000" w:sz="4" w:space="0"/>
              <w:bottom w:val="single" w:color="000000" w:sz="4" w:space="0"/>
              <w:right w:val="single" w:color="000000" w:sz="4" w:space="0"/>
            </w:tcBorders>
            <w:noWrap w:val="0"/>
            <w:vAlign w:val="center"/>
          </w:tcPr>
          <w:p w14:paraId="2B652631">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开户银行</w:t>
            </w:r>
          </w:p>
        </w:tc>
        <w:tc>
          <w:tcPr>
            <w:tcW w:w="2431" w:type="dxa"/>
            <w:gridSpan w:val="2"/>
            <w:tcBorders>
              <w:top w:val="single" w:color="000000" w:sz="4" w:space="0"/>
              <w:left w:val="single" w:color="000000" w:sz="4" w:space="0"/>
              <w:bottom w:val="single" w:color="000000" w:sz="4" w:space="0"/>
              <w:right w:val="single" w:color="000000" w:sz="4" w:space="0"/>
            </w:tcBorders>
            <w:noWrap w:val="0"/>
            <w:vAlign w:val="center"/>
          </w:tcPr>
          <w:p w14:paraId="415EBFE2">
            <w:pPr>
              <w:jc w:val="center"/>
              <w:rPr>
                <w:rFonts w:hint="eastAsia" w:ascii="仿宋" w:hAnsi="仿宋" w:eastAsia="仿宋" w:cs="仿宋"/>
                <w:color w:val="000000"/>
                <w:sz w:val="22"/>
              </w:rPr>
            </w:pPr>
          </w:p>
        </w:tc>
        <w:tc>
          <w:tcPr>
            <w:tcW w:w="19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AD8B29">
            <w:pPr>
              <w:jc w:val="center"/>
              <w:rPr>
                <w:rFonts w:hint="eastAsia" w:ascii="仿宋" w:hAnsi="仿宋" w:eastAsia="仿宋" w:cs="仿宋"/>
                <w:color w:val="000000"/>
                <w:sz w:val="22"/>
              </w:rPr>
            </w:pPr>
          </w:p>
        </w:tc>
        <w:tc>
          <w:tcPr>
            <w:tcW w:w="2187" w:type="dxa"/>
            <w:gridSpan w:val="2"/>
            <w:tcBorders>
              <w:top w:val="single" w:color="000000" w:sz="4" w:space="0"/>
              <w:left w:val="single" w:color="000000" w:sz="4" w:space="0"/>
              <w:bottom w:val="single" w:color="000000" w:sz="4" w:space="0"/>
              <w:right w:val="single" w:color="000000" w:sz="4" w:space="0"/>
            </w:tcBorders>
            <w:noWrap w:val="0"/>
            <w:vAlign w:val="center"/>
          </w:tcPr>
          <w:p w14:paraId="0F536376">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初级职称人员</w:t>
            </w:r>
          </w:p>
        </w:tc>
        <w:tc>
          <w:tcPr>
            <w:tcW w:w="1828" w:type="dxa"/>
            <w:tcBorders>
              <w:top w:val="single" w:color="000000" w:sz="4" w:space="0"/>
              <w:left w:val="single" w:color="000000" w:sz="4" w:space="0"/>
              <w:bottom w:val="single" w:color="000000" w:sz="4" w:space="0"/>
              <w:right w:val="single" w:color="000000" w:sz="4" w:space="0"/>
            </w:tcBorders>
            <w:noWrap w:val="0"/>
            <w:vAlign w:val="center"/>
          </w:tcPr>
          <w:p w14:paraId="6BC44A20">
            <w:pPr>
              <w:rPr>
                <w:rFonts w:hint="eastAsia" w:ascii="仿宋" w:hAnsi="仿宋" w:eastAsia="仿宋" w:cs="仿宋"/>
                <w:color w:val="000000"/>
                <w:sz w:val="22"/>
              </w:rPr>
            </w:pPr>
          </w:p>
        </w:tc>
      </w:tr>
      <w:tr w14:paraId="4FA76E49">
        <w:tblPrEx>
          <w:tblCellMar>
            <w:top w:w="0" w:type="dxa"/>
            <w:left w:w="108" w:type="dxa"/>
            <w:bottom w:w="0" w:type="dxa"/>
            <w:right w:w="108" w:type="dxa"/>
          </w:tblCellMar>
        </w:tblPrEx>
        <w:trPr>
          <w:trHeight w:val="552" w:hRule="atLeast"/>
        </w:trPr>
        <w:tc>
          <w:tcPr>
            <w:tcW w:w="1536" w:type="dxa"/>
            <w:tcBorders>
              <w:top w:val="single" w:color="000000" w:sz="4" w:space="0"/>
              <w:left w:val="single" w:color="000000" w:sz="4" w:space="0"/>
              <w:bottom w:val="single" w:color="000000" w:sz="4" w:space="0"/>
              <w:right w:val="single" w:color="000000" w:sz="4" w:space="0"/>
            </w:tcBorders>
            <w:noWrap w:val="0"/>
            <w:vAlign w:val="center"/>
          </w:tcPr>
          <w:p w14:paraId="11D122BF">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账号</w:t>
            </w:r>
          </w:p>
        </w:tc>
        <w:tc>
          <w:tcPr>
            <w:tcW w:w="2431" w:type="dxa"/>
            <w:gridSpan w:val="2"/>
            <w:tcBorders>
              <w:top w:val="single" w:color="000000" w:sz="4" w:space="0"/>
              <w:left w:val="single" w:color="000000" w:sz="4" w:space="0"/>
              <w:bottom w:val="single" w:color="000000" w:sz="4" w:space="0"/>
              <w:right w:val="single" w:color="000000" w:sz="4" w:space="0"/>
            </w:tcBorders>
            <w:noWrap w:val="0"/>
            <w:vAlign w:val="center"/>
          </w:tcPr>
          <w:p w14:paraId="737795A0">
            <w:pPr>
              <w:jc w:val="center"/>
              <w:rPr>
                <w:rFonts w:hint="eastAsia" w:ascii="仿宋" w:hAnsi="仿宋" w:eastAsia="仿宋" w:cs="仿宋"/>
                <w:color w:val="000000"/>
                <w:sz w:val="22"/>
              </w:rPr>
            </w:pPr>
          </w:p>
        </w:tc>
        <w:tc>
          <w:tcPr>
            <w:tcW w:w="19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0299C9">
            <w:pPr>
              <w:jc w:val="center"/>
              <w:rPr>
                <w:rFonts w:hint="eastAsia" w:ascii="仿宋" w:hAnsi="仿宋" w:eastAsia="仿宋" w:cs="仿宋"/>
                <w:color w:val="000000"/>
                <w:sz w:val="22"/>
              </w:rPr>
            </w:pPr>
          </w:p>
        </w:tc>
        <w:tc>
          <w:tcPr>
            <w:tcW w:w="2187" w:type="dxa"/>
            <w:gridSpan w:val="2"/>
            <w:tcBorders>
              <w:top w:val="single" w:color="000000" w:sz="4" w:space="0"/>
              <w:left w:val="single" w:color="000000" w:sz="4" w:space="0"/>
              <w:bottom w:val="single" w:color="000000" w:sz="4" w:space="0"/>
              <w:right w:val="single" w:color="000000" w:sz="4" w:space="0"/>
            </w:tcBorders>
            <w:noWrap w:val="0"/>
            <w:vAlign w:val="center"/>
          </w:tcPr>
          <w:p w14:paraId="65E4435C">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技工</w:t>
            </w:r>
          </w:p>
        </w:tc>
        <w:tc>
          <w:tcPr>
            <w:tcW w:w="1828" w:type="dxa"/>
            <w:tcBorders>
              <w:top w:val="single" w:color="000000" w:sz="4" w:space="0"/>
              <w:left w:val="single" w:color="000000" w:sz="4" w:space="0"/>
              <w:bottom w:val="single" w:color="000000" w:sz="4" w:space="0"/>
              <w:right w:val="single" w:color="000000" w:sz="4" w:space="0"/>
            </w:tcBorders>
            <w:noWrap w:val="0"/>
            <w:vAlign w:val="center"/>
          </w:tcPr>
          <w:p w14:paraId="1C32743A">
            <w:pPr>
              <w:rPr>
                <w:rFonts w:hint="eastAsia" w:ascii="仿宋" w:hAnsi="仿宋" w:eastAsia="仿宋" w:cs="仿宋"/>
                <w:color w:val="000000"/>
                <w:sz w:val="22"/>
              </w:rPr>
            </w:pPr>
          </w:p>
        </w:tc>
      </w:tr>
      <w:tr w14:paraId="4F511F47">
        <w:tblPrEx>
          <w:tblCellMar>
            <w:top w:w="0" w:type="dxa"/>
            <w:left w:w="108" w:type="dxa"/>
            <w:bottom w:w="0" w:type="dxa"/>
            <w:right w:w="108" w:type="dxa"/>
          </w:tblCellMar>
        </w:tblPrEx>
        <w:trPr>
          <w:trHeight w:val="2800" w:hRule="atLeast"/>
        </w:trPr>
        <w:tc>
          <w:tcPr>
            <w:tcW w:w="1536" w:type="dxa"/>
            <w:tcBorders>
              <w:top w:val="single" w:color="000000" w:sz="4" w:space="0"/>
              <w:left w:val="single" w:color="000000" w:sz="4" w:space="0"/>
              <w:bottom w:val="single" w:color="000000" w:sz="4" w:space="0"/>
              <w:right w:val="single" w:color="000000" w:sz="4" w:space="0"/>
            </w:tcBorders>
            <w:noWrap w:val="0"/>
            <w:vAlign w:val="center"/>
          </w:tcPr>
          <w:p w14:paraId="438DC519">
            <w:pPr>
              <w:widowControl/>
              <w:textAlignment w:val="center"/>
              <w:rPr>
                <w:rFonts w:hint="eastAsia" w:ascii="仿宋" w:hAnsi="仿宋" w:eastAsia="仿宋" w:cs="仿宋"/>
                <w:color w:val="000000"/>
                <w:sz w:val="22"/>
              </w:rPr>
            </w:pPr>
            <w:r>
              <w:rPr>
                <w:rFonts w:hint="eastAsia" w:ascii="仿宋" w:hAnsi="仿宋" w:eastAsia="仿宋" w:cs="仿宋"/>
                <w:color w:val="000000"/>
                <w:kern w:val="0"/>
                <w:sz w:val="22"/>
                <w:lang w:bidi="ar"/>
              </w:rPr>
              <w:t>经营范围</w:t>
            </w:r>
          </w:p>
        </w:tc>
        <w:tc>
          <w:tcPr>
            <w:tcW w:w="8384" w:type="dxa"/>
            <w:gridSpan w:val="6"/>
            <w:tcBorders>
              <w:top w:val="single" w:color="000000" w:sz="4" w:space="0"/>
              <w:left w:val="single" w:color="000000" w:sz="4" w:space="0"/>
              <w:bottom w:val="single" w:color="000000" w:sz="4" w:space="0"/>
              <w:right w:val="single" w:color="000000" w:sz="4" w:space="0"/>
            </w:tcBorders>
            <w:noWrap w:val="0"/>
            <w:vAlign w:val="center"/>
          </w:tcPr>
          <w:p w14:paraId="420BA20E">
            <w:pPr>
              <w:jc w:val="center"/>
              <w:rPr>
                <w:rFonts w:hint="eastAsia" w:ascii="仿宋" w:hAnsi="仿宋" w:eastAsia="仿宋" w:cs="仿宋"/>
                <w:color w:val="000000"/>
                <w:sz w:val="22"/>
              </w:rPr>
            </w:pPr>
          </w:p>
        </w:tc>
      </w:tr>
      <w:tr w14:paraId="47A3FFD0">
        <w:tblPrEx>
          <w:tblCellMar>
            <w:top w:w="0" w:type="dxa"/>
            <w:left w:w="108" w:type="dxa"/>
            <w:bottom w:w="0" w:type="dxa"/>
            <w:right w:w="108" w:type="dxa"/>
          </w:tblCellMar>
        </w:tblPrEx>
        <w:trPr>
          <w:trHeight w:val="680" w:hRule="atLeast"/>
        </w:trPr>
        <w:tc>
          <w:tcPr>
            <w:tcW w:w="9920" w:type="dxa"/>
            <w:gridSpan w:val="7"/>
            <w:tcBorders>
              <w:top w:val="nil"/>
              <w:left w:val="nil"/>
              <w:bottom w:val="nil"/>
              <w:right w:val="nil"/>
            </w:tcBorders>
            <w:noWrap w:val="0"/>
            <w:vAlign w:val="center"/>
          </w:tcPr>
          <w:p w14:paraId="2D4309A1">
            <w:pPr>
              <w:rPr>
                <w:rFonts w:hint="eastAsia" w:ascii="仿宋" w:hAnsi="仿宋" w:eastAsia="仿宋" w:cs="仿宋"/>
              </w:rPr>
            </w:pPr>
            <w:r>
              <w:rPr>
                <w:rFonts w:hint="eastAsia" w:ascii="仿宋" w:hAnsi="仿宋" w:eastAsia="仿宋" w:cs="仿宋"/>
                <w:color w:val="000000"/>
                <w:kern w:val="0"/>
                <w:sz w:val="22"/>
                <w:lang w:bidi="ar"/>
              </w:rPr>
              <w:t>备注：</w:t>
            </w:r>
            <w:r>
              <w:rPr>
                <w:rFonts w:hint="eastAsia" w:ascii="仿宋" w:hAnsi="仿宋" w:eastAsia="仿宋" w:cs="仿宋"/>
              </w:rPr>
              <w:t>附公司相关证件、营业执照、资质证书等</w:t>
            </w:r>
          </w:p>
          <w:p w14:paraId="4AC356F3">
            <w:pPr>
              <w:widowControl/>
              <w:textAlignment w:val="center"/>
              <w:rPr>
                <w:rFonts w:hint="eastAsia" w:ascii="仿宋" w:hAnsi="仿宋" w:eastAsia="仿宋" w:cs="仿宋"/>
                <w:color w:val="000000"/>
                <w:sz w:val="22"/>
              </w:rPr>
            </w:pPr>
          </w:p>
        </w:tc>
      </w:tr>
    </w:tbl>
    <w:p w14:paraId="636AD1E6">
      <w:pPr>
        <w:pStyle w:val="78"/>
        <w:spacing w:line="360" w:lineRule="auto"/>
        <w:ind w:left="0"/>
        <w:jc w:val="center"/>
        <w:rPr>
          <w:rFonts w:hint="eastAsia" w:ascii="仿宋" w:hAnsi="仿宋" w:eastAsia="仿宋" w:cs="仿宋"/>
          <w:color w:val="auto"/>
          <w:sz w:val="28"/>
          <w:szCs w:val="28"/>
          <w:highlight w:val="none"/>
        </w:rPr>
      </w:pPr>
    </w:p>
    <w:p w14:paraId="6D5AFA7E">
      <w:pPr>
        <w:pStyle w:val="78"/>
        <w:spacing w:line="360" w:lineRule="auto"/>
        <w:ind w:left="0"/>
        <w:jc w:val="both"/>
        <w:rPr>
          <w:rFonts w:hint="eastAsia" w:ascii="仿宋" w:hAnsi="仿宋" w:eastAsia="仿宋" w:cs="仿宋"/>
          <w:color w:val="auto"/>
          <w:sz w:val="28"/>
          <w:szCs w:val="28"/>
          <w:highlight w:val="none"/>
        </w:rPr>
      </w:pPr>
    </w:p>
    <w:p w14:paraId="02DEA83E">
      <w:pPr>
        <w:pStyle w:val="78"/>
        <w:spacing w:line="360" w:lineRule="auto"/>
        <w:ind w:left="0"/>
        <w:jc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格式</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类似业绩</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235"/>
        <w:gridCol w:w="1624"/>
        <w:gridCol w:w="1061"/>
        <w:gridCol w:w="1160"/>
        <w:gridCol w:w="1160"/>
        <w:gridCol w:w="1326"/>
        <w:gridCol w:w="1326"/>
      </w:tblGrid>
      <w:tr w14:paraId="4467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663" w:type="dxa"/>
            <w:noWrap w:val="0"/>
            <w:vAlign w:val="center"/>
          </w:tcPr>
          <w:p w14:paraId="0E227A1D">
            <w:pPr>
              <w:pageBreakBefore w:val="0"/>
              <w:kinsoku/>
              <w:wordWrap w:val="0"/>
              <w:overflowPunct/>
              <w:bidi w:val="0"/>
              <w:spacing w:line="360"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1235" w:type="dxa"/>
            <w:noWrap w:val="0"/>
            <w:vAlign w:val="center"/>
          </w:tcPr>
          <w:p w14:paraId="057FF250">
            <w:pPr>
              <w:pageBreakBefore w:val="0"/>
              <w:kinsoku/>
              <w:wordWrap w:val="0"/>
              <w:overflowPunct/>
              <w:bidi w:val="0"/>
              <w:spacing w:line="360" w:lineRule="auto"/>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项目名称</w:t>
            </w:r>
          </w:p>
        </w:tc>
        <w:tc>
          <w:tcPr>
            <w:tcW w:w="1624" w:type="dxa"/>
            <w:noWrap w:val="0"/>
            <w:vAlign w:val="center"/>
          </w:tcPr>
          <w:p w14:paraId="1C269DB1">
            <w:pPr>
              <w:pageBreakBefore w:val="0"/>
              <w:kinsoku/>
              <w:wordWrap w:val="0"/>
              <w:overflowPunct/>
              <w:bidi w:val="0"/>
              <w:spacing w:line="360" w:lineRule="auto"/>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合同金额</w:t>
            </w:r>
          </w:p>
        </w:tc>
        <w:tc>
          <w:tcPr>
            <w:tcW w:w="1061" w:type="dxa"/>
            <w:noWrap w:val="0"/>
            <w:vAlign w:val="center"/>
          </w:tcPr>
          <w:p w14:paraId="5EB29AFF">
            <w:pPr>
              <w:pageBreakBefore w:val="0"/>
              <w:kinsoku/>
              <w:wordWrap w:val="0"/>
              <w:overflowPunct/>
              <w:bidi w:val="0"/>
              <w:spacing w:line="360" w:lineRule="auto"/>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合同签订时间</w:t>
            </w:r>
          </w:p>
        </w:tc>
        <w:tc>
          <w:tcPr>
            <w:tcW w:w="1160" w:type="dxa"/>
            <w:noWrap w:val="0"/>
            <w:vAlign w:val="center"/>
          </w:tcPr>
          <w:p w14:paraId="751CBA3E">
            <w:pPr>
              <w:pageBreakBefore w:val="0"/>
              <w:kinsoku/>
              <w:wordWrap w:val="0"/>
              <w:overflowPunct/>
              <w:bidi w:val="0"/>
              <w:spacing w:line="360" w:lineRule="auto"/>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项目实施地点</w:t>
            </w:r>
          </w:p>
        </w:tc>
        <w:tc>
          <w:tcPr>
            <w:tcW w:w="1160" w:type="dxa"/>
            <w:noWrap w:val="0"/>
            <w:vAlign w:val="center"/>
          </w:tcPr>
          <w:p w14:paraId="6C2DCE51">
            <w:pPr>
              <w:pageBreakBefore w:val="0"/>
              <w:kinsoku/>
              <w:wordWrap w:val="0"/>
              <w:overflowPunct/>
              <w:bidi w:val="0"/>
              <w:spacing w:line="360" w:lineRule="auto"/>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完成情况</w:t>
            </w:r>
          </w:p>
        </w:tc>
        <w:tc>
          <w:tcPr>
            <w:tcW w:w="1326" w:type="dxa"/>
            <w:noWrap w:val="0"/>
            <w:vAlign w:val="center"/>
          </w:tcPr>
          <w:p w14:paraId="799ADF74">
            <w:pPr>
              <w:pageBreakBefore w:val="0"/>
              <w:kinsoku/>
              <w:wordWrap w:val="0"/>
              <w:overflowPunct/>
              <w:bidi w:val="0"/>
              <w:spacing w:line="360" w:lineRule="auto"/>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用户反馈情况</w:t>
            </w:r>
          </w:p>
        </w:tc>
        <w:tc>
          <w:tcPr>
            <w:tcW w:w="1326" w:type="dxa"/>
            <w:noWrap w:val="0"/>
            <w:vAlign w:val="center"/>
          </w:tcPr>
          <w:p w14:paraId="23D66093">
            <w:pPr>
              <w:pageBreakBefore w:val="0"/>
              <w:kinsoku/>
              <w:wordWrap w:val="0"/>
              <w:overflowPunct/>
              <w:bidi w:val="0"/>
              <w:spacing w:line="360" w:lineRule="auto"/>
              <w:jc w:val="center"/>
              <w:rPr>
                <w:rFonts w:hint="eastAsia" w:ascii="仿宋" w:hAnsi="仿宋" w:eastAsia="仿宋" w:cs="仿宋"/>
                <w:sz w:val="24"/>
                <w:szCs w:val="24"/>
              </w:rPr>
            </w:pPr>
            <w:r>
              <w:rPr>
                <w:rFonts w:hint="eastAsia" w:ascii="仿宋" w:hAnsi="仿宋" w:eastAsia="仿宋" w:cs="仿宋"/>
                <w:sz w:val="24"/>
                <w:szCs w:val="24"/>
              </w:rPr>
              <w:t>备注</w:t>
            </w:r>
          </w:p>
        </w:tc>
      </w:tr>
      <w:tr w14:paraId="4DE7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63" w:type="dxa"/>
            <w:noWrap w:val="0"/>
            <w:vAlign w:val="top"/>
          </w:tcPr>
          <w:p w14:paraId="6DDCA97D">
            <w:pPr>
              <w:pageBreakBefore w:val="0"/>
              <w:kinsoku/>
              <w:wordWrap w:val="0"/>
              <w:overflowPunct/>
              <w:bidi w:val="0"/>
              <w:spacing w:line="36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235" w:type="dxa"/>
            <w:noWrap w:val="0"/>
            <w:vAlign w:val="top"/>
          </w:tcPr>
          <w:p w14:paraId="3C92C097">
            <w:pPr>
              <w:pageBreakBefore w:val="0"/>
              <w:kinsoku/>
              <w:wordWrap w:val="0"/>
              <w:overflowPunct/>
              <w:bidi w:val="0"/>
              <w:spacing w:line="360" w:lineRule="auto"/>
              <w:jc w:val="center"/>
              <w:rPr>
                <w:rFonts w:hint="eastAsia" w:ascii="仿宋" w:hAnsi="仿宋" w:eastAsia="仿宋" w:cs="仿宋"/>
                <w:sz w:val="24"/>
                <w:szCs w:val="24"/>
              </w:rPr>
            </w:pPr>
          </w:p>
        </w:tc>
        <w:tc>
          <w:tcPr>
            <w:tcW w:w="1624" w:type="dxa"/>
            <w:noWrap w:val="0"/>
            <w:vAlign w:val="top"/>
          </w:tcPr>
          <w:p w14:paraId="7F6E6F93">
            <w:pPr>
              <w:pageBreakBefore w:val="0"/>
              <w:kinsoku/>
              <w:wordWrap w:val="0"/>
              <w:overflowPunct/>
              <w:bidi w:val="0"/>
              <w:spacing w:line="360" w:lineRule="auto"/>
              <w:jc w:val="center"/>
              <w:rPr>
                <w:rFonts w:hint="eastAsia" w:ascii="仿宋" w:hAnsi="仿宋" w:eastAsia="仿宋" w:cs="仿宋"/>
                <w:sz w:val="24"/>
                <w:szCs w:val="24"/>
              </w:rPr>
            </w:pPr>
          </w:p>
        </w:tc>
        <w:tc>
          <w:tcPr>
            <w:tcW w:w="1061" w:type="dxa"/>
            <w:noWrap w:val="0"/>
            <w:vAlign w:val="top"/>
          </w:tcPr>
          <w:p w14:paraId="740457FD">
            <w:pPr>
              <w:pageBreakBefore w:val="0"/>
              <w:kinsoku/>
              <w:wordWrap w:val="0"/>
              <w:overflowPunct/>
              <w:bidi w:val="0"/>
              <w:spacing w:line="360" w:lineRule="auto"/>
              <w:jc w:val="center"/>
              <w:rPr>
                <w:rFonts w:hint="eastAsia" w:ascii="仿宋" w:hAnsi="仿宋" w:eastAsia="仿宋" w:cs="仿宋"/>
                <w:sz w:val="24"/>
                <w:szCs w:val="24"/>
              </w:rPr>
            </w:pPr>
          </w:p>
        </w:tc>
        <w:tc>
          <w:tcPr>
            <w:tcW w:w="1160" w:type="dxa"/>
            <w:noWrap w:val="0"/>
            <w:vAlign w:val="top"/>
          </w:tcPr>
          <w:p w14:paraId="606E8713">
            <w:pPr>
              <w:pageBreakBefore w:val="0"/>
              <w:kinsoku/>
              <w:wordWrap w:val="0"/>
              <w:overflowPunct/>
              <w:bidi w:val="0"/>
              <w:spacing w:line="360" w:lineRule="auto"/>
              <w:jc w:val="center"/>
              <w:rPr>
                <w:rFonts w:hint="eastAsia" w:ascii="仿宋" w:hAnsi="仿宋" w:eastAsia="仿宋" w:cs="仿宋"/>
                <w:sz w:val="24"/>
                <w:szCs w:val="24"/>
              </w:rPr>
            </w:pPr>
          </w:p>
        </w:tc>
        <w:tc>
          <w:tcPr>
            <w:tcW w:w="1160" w:type="dxa"/>
            <w:noWrap w:val="0"/>
            <w:vAlign w:val="top"/>
          </w:tcPr>
          <w:p w14:paraId="6A436A8D">
            <w:pPr>
              <w:pageBreakBefore w:val="0"/>
              <w:kinsoku/>
              <w:wordWrap w:val="0"/>
              <w:overflowPunct/>
              <w:bidi w:val="0"/>
              <w:spacing w:line="360" w:lineRule="auto"/>
              <w:jc w:val="center"/>
              <w:rPr>
                <w:rFonts w:hint="eastAsia" w:ascii="仿宋" w:hAnsi="仿宋" w:eastAsia="仿宋" w:cs="仿宋"/>
                <w:sz w:val="24"/>
                <w:szCs w:val="24"/>
              </w:rPr>
            </w:pPr>
          </w:p>
        </w:tc>
        <w:tc>
          <w:tcPr>
            <w:tcW w:w="1326" w:type="dxa"/>
            <w:noWrap w:val="0"/>
            <w:vAlign w:val="top"/>
          </w:tcPr>
          <w:p w14:paraId="59746F29">
            <w:pPr>
              <w:pageBreakBefore w:val="0"/>
              <w:kinsoku/>
              <w:wordWrap w:val="0"/>
              <w:overflowPunct/>
              <w:bidi w:val="0"/>
              <w:spacing w:line="360" w:lineRule="auto"/>
              <w:jc w:val="center"/>
              <w:rPr>
                <w:rFonts w:hint="eastAsia" w:ascii="仿宋" w:hAnsi="仿宋" w:eastAsia="仿宋" w:cs="仿宋"/>
                <w:sz w:val="24"/>
                <w:szCs w:val="24"/>
              </w:rPr>
            </w:pPr>
          </w:p>
        </w:tc>
        <w:tc>
          <w:tcPr>
            <w:tcW w:w="1326" w:type="dxa"/>
            <w:noWrap w:val="0"/>
            <w:vAlign w:val="top"/>
          </w:tcPr>
          <w:p w14:paraId="50B80ED9">
            <w:pPr>
              <w:pageBreakBefore w:val="0"/>
              <w:kinsoku/>
              <w:wordWrap w:val="0"/>
              <w:overflowPunct/>
              <w:bidi w:val="0"/>
              <w:spacing w:line="360" w:lineRule="auto"/>
              <w:jc w:val="center"/>
              <w:rPr>
                <w:rFonts w:hint="eastAsia" w:ascii="仿宋" w:hAnsi="仿宋" w:eastAsia="仿宋" w:cs="仿宋"/>
                <w:sz w:val="24"/>
                <w:szCs w:val="24"/>
              </w:rPr>
            </w:pPr>
          </w:p>
        </w:tc>
      </w:tr>
      <w:tr w14:paraId="616A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63" w:type="dxa"/>
            <w:noWrap w:val="0"/>
            <w:vAlign w:val="top"/>
          </w:tcPr>
          <w:p w14:paraId="46DADBD7">
            <w:pPr>
              <w:pageBreakBefore w:val="0"/>
              <w:kinsoku/>
              <w:wordWrap w:val="0"/>
              <w:overflowPunct/>
              <w:bidi w:val="0"/>
              <w:spacing w:line="36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235" w:type="dxa"/>
            <w:noWrap w:val="0"/>
            <w:vAlign w:val="top"/>
          </w:tcPr>
          <w:p w14:paraId="3C077ABF">
            <w:pPr>
              <w:pageBreakBefore w:val="0"/>
              <w:kinsoku/>
              <w:wordWrap w:val="0"/>
              <w:overflowPunct/>
              <w:bidi w:val="0"/>
              <w:spacing w:line="360" w:lineRule="auto"/>
              <w:jc w:val="center"/>
              <w:rPr>
                <w:rFonts w:hint="eastAsia" w:ascii="仿宋" w:hAnsi="仿宋" w:eastAsia="仿宋" w:cs="仿宋"/>
                <w:sz w:val="24"/>
                <w:szCs w:val="24"/>
              </w:rPr>
            </w:pPr>
          </w:p>
        </w:tc>
        <w:tc>
          <w:tcPr>
            <w:tcW w:w="1624" w:type="dxa"/>
            <w:noWrap w:val="0"/>
            <w:vAlign w:val="top"/>
          </w:tcPr>
          <w:p w14:paraId="226E2ECE">
            <w:pPr>
              <w:pageBreakBefore w:val="0"/>
              <w:kinsoku/>
              <w:wordWrap w:val="0"/>
              <w:overflowPunct/>
              <w:bidi w:val="0"/>
              <w:spacing w:line="360" w:lineRule="auto"/>
              <w:jc w:val="center"/>
              <w:rPr>
                <w:rFonts w:hint="eastAsia" w:ascii="仿宋" w:hAnsi="仿宋" w:eastAsia="仿宋" w:cs="仿宋"/>
                <w:sz w:val="24"/>
                <w:szCs w:val="24"/>
              </w:rPr>
            </w:pPr>
          </w:p>
        </w:tc>
        <w:tc>
          <w:tcPr>
            <w:tcW w:w="1061" w:type="dxa"/>
            <w:noWrap w:val="0"/>
            <w:vAlign w:val="top"/>
          </w:tcPr>
          <w:p w14:paraId="64C5640D">
            <w:pPr>
              <w:pageBreakBefore w:val="0"/>
              <w:kinsoku/>
              <w:wordWrap w:val="0"/>
              <w:overflowPunct/>
              <w:bidi w:val="0"/>
              <w:spacing w:line="360" w:lineRule="auto"/>
              <w:jc w:val="center"/>
              <w:rPr>
                <w:rFonts w:hint="eastAsia" w:ascii="仿宋" w:hAnsi="仿宋" w:eastAsia="仿宋" w:cs="仿宋"/>
                <w:sz w:val="24"/>
                <w:szCs w:val="24"/>
              </w:rPr>
            </w:pPr>
          </w:p>
        </w:tc>
        <w:tc>
          <w:tcPr>
            <w:tcW w:w="1160" w:type="dxa"/>
            <w:noWrap w:val="0"/>
            <w:vAlign w:val="top"/>
          </w:tcPr>
          <w:p w14:paraId="0AE73C5F">
            <w:pPr>
              <w:pageBreakBefore w:val="0"/>
              <w:kinsoku/>
              <w:wordWrap w:val="0"/>
              <w:overflowPunct/>
              <w:bidi w:val="0"/>
              <w:spacing w:line="360" w:lineRule="auto"/>
              <w:jc w:val="center"/>
              <w:rPr>
                <w:rFonts w:hint="eastAsia" w:ascii="仿宋" w:hAnsi="仿宋" w:eastAsia="仿宋" w:cs="仿宋"/>
                <w:sz w:val="24"/>
                <w:szCs w:val="24"/>
              </w:rPr>
            </w:pPr>
          </w:p>
        </w:tc>
        <w:tc>
          <w:tcPr>
            <w:tcW w:w="1160" w:type="dxa"/>
            <w:noWrap w:val="0"/>
            <w:vAlign w:val="top"/>
          </w:tcPr>
          <w:p w14:paraId="22AA00E1">
            <w:pPr>
              <w:pageBreakBefore w:val="0"/>
              <w:kinsoku/>
              <w:wordWrap w:val="0"/>
              <w:overflowPunct/>
              <w:bidi w:val="0"/>
              <w:spacing w:line="360" w:lineRule="auto"/>
              <w:jc w:val="center"/>
              <w:rPr>
                <w:rFonts w:hint="eastAsia" w:ascii="仿宋" w:hAnsi="仿宋" w:eastAsia="仿宋" w:cs="仿宋"/>
                <w:sz w:val="24"/>
                <w:szCs w:val="24"/>
              </w:rPr>
            </w:pPr>
          </w:p>
        </w:tc>
        <w:tc>
          <w:tcPr>
            <w:tcW w:w="1326" w:type="dxa"/>
            <w:noWrap w:val="0"/>
            <w:vAlign w:val="top"/>
          </w:tcPr>
          <w:p w14:paraId="7B06EC91">
            <w:pPr>
              <w:pageBreakBefore w:val="0"/>
              <w:kinsoku/>
              <w:wordWrap w:val="0"/>
              <w:overflowPunct/>
              <w:bidi w:val="0"/>
              <w:spacing w:line="360" w:lineRule="auto"/>
              <w:jc w:val="center"/>
              <w:rPr>
                <w:rFonts w:hint="eastAsia" w:ascii="仿宋" w:hAnsi="仿宋" w:eastAsia="仿宋" w:cs="仿宋"/>
                <w:sz w:val="24"/>
                <w:szCs w:val="24"/>
              </w:rPr>
            </w:pPr>
          </w:p>
        </w:tc>
        <w:tc>
          <w:tcPr>
            <w:tcW w:w="1326" w:type="dxa"/>
            <w:noWrap w:val="0"/>
            <w:vAlign w:val="top"/>
          </w:tcPr>
          <w:p w14:paraId="50FC4DD8">
            <w:pPr>
              <w:pageBreakBefore w:val="0"/>
              <w:kinsoku/>
              <w:wordWrap w:val="0"/>
              <w:overflowPunct/>
              <w:bidi w:val="0"/>
              <w:spacing w:line="360" w:lineRule="auto"/>
              <w:jc w:val="center"/>
              <w:rPr>
                <w:rFonts w:hint="eastAsia" w:ascii="仿宋" w:hAnsi="仿宋" w:eastAsia="仿宋" w:cs="仿宋"/>
                <w:sz w:val="24"/>
                <w:szCs w:val="24"/>
              </w:rPr>
            </w:pPr>
          </w:p>
        </w:tc>
      </w:tr>
      <w:tr w14:paraId="43FD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63" w:type="dxa"/>
            <w:noWrap w:val="0"/>
            <w:vAlign w:val="top"/>
          </w:tcPr>
          <w:p w14:paraId="5FD9FDF1">
            <w:pPr>
              <w:pageBreakBefore w:val="0"/>
              <w:kinsoku/>
              <w:wordWrap w:val="0"/>
              <w:overflowPunct/>
              <w:bidi w:val="0"/>
              <w:spacing w:line="36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w:t>
            </w:r>
          </w:p>
        </w:tc>
        <w:tc>
          <w:tcPr>
            <w:tcW w:w="1235" w:type="dxa"/>
            <w:noWrap w:val="0"/>
            <w:vAlign w:val="top"/>
          </w:tcPr>
          <w:p w14:paraId="3F22238A">
            <w:pPr>
              <w:pageBreakBefore w:val="0"/>
              <w:kinsoku/>
              <w:wordWrap w:val="0"/>
              <w:overflowPunct/>
              <w:bidi w:val="0"/>
              <w:spacing w:line="360" w:lineRule="auto"/>
              <w:jc w:val="center"/>
              <w:rPr>
                <w:rFonts w:hint="eastAsia" w:ascii="仿宋" w:hAnsi="仿宋" w:eastAsia="仿宋" w:cs="仿宋"/>
                <w:sz w:val="24"/>
                <w:szCs w:val="24"/>
              </w:rPr>
            </w:pPr>
          </w:p>
        </w:tc>
        <w:tc>
          <w:tcPr>
            <w:tcW w:w="1624" w:type="dxa"/>
            <w:noWrap w:val="0"/>
            <w:vAlign w:val="top"/>
          </w:tcPr>
          <w:p w14:paraId="35B5B0BB">
            <w:pPr>
              <w:pageBreakBefore w:val="0"/>
              <w:kinsoku/>
              <w:wordWrap w:val="0"/>
              <w:overflowPunct/>
              <w:bidi w:val="0"/>
              <w:spacing w:line="360" w:lineRule="auto"/>
              <w:jc w:val="center"/>
              <w:rPr>
                <w:rFonts w:hint="eastAsia" w:ascii="仿宋" w:hAnsi="仿宋" w:eastAsia="仿宋" w:cs="仿宋"/>
                <w:sz w:val="24"/>
                <w:szCs w:val="24"/>
              </w:rPr>
            </w:pPr>
          </w:p>
        </w:tc>
        <w:tc>
          <w:tcPr>
            <w:tcW w:w="1061" w:type="dxa"/>
            <w:noWrap w:val="0"/>
            <w:vAlign w:val="top"/>
          </w:tcPr>
          <w:p w14:paraId="1D5B869C">
            <w:pPr>
              <w:pageBreakBefore w:val="0"/>
              <w:kinsoku/>
              <w:wordWrap w:val="0"/>
              <w:overflowPunct/>
              <w:bidi w:val="0"/>
              <w:spacing w:line="360" w:lineRule="auto"/>
              <w:jc w:val="center"/>
              <w:rPr>
                <w:rFonts w:hint="eastAsia" w:ascii="仿宋" w:hAnsi="仿宋" w:eastAsia="仿宋" w:cs="仿宋"/>
                <w:sz w:val="24"/>
                <w:szCs w:val="24"/>
              </w:rPr>
            </w:pPr>
          </w:p>
        </w:tc>
        <w:tc>
          <w:tcPr>
            <w:tcW w:w="1160" w:type="dxa"/>
            <w:noWrap w:val="0"/>
            <w:vAlign w:val="top"/>
          </w:tcPr>
          <w:p w14:paraId="7B94C99E">
            <w:pPr>
              <w:pageBreakBefore w:val="0"/>
              <w:kinsoku/>
              <w:wordWrap w:val="0"/>
              <w:overflowPunct/>
              <w:bidi w:val="0"/>
              <w:spacing w:line="360" w:lineRule="auto"/>
              <w:jc w:val="center"/>
              <w:rPr>
                <w:rFonts w:hint="eastAsia" w:ascii="仿宋" w:hAnsi="仿宋" w:eastAsia="仿宋" w:cs="仿宋"/>
                <w:sz w:val="24"/>
                <w:szCs w:val="24"/>
              </w:rPr>
            </w:pPr>
          </w:p>
        </w:tc>
        <w:tc>
          <w:tcPr>
            <w:tcW w:w="1160" w:type="dxa"/>
            <w:noWrap w:val="0"/>
            <w:vAlign w:val="top"/>
          </w:tcPr>
          <w:p w14:paraId="39C0ADCA">
            <w:pPr>
              <w:pageBreakBefore w:val="0"/>
              <w:kinsoku/>
              <w:wordWrap w:val="0"/>
              <w:overflowPunct/>
              <w:bidi w:val="0"/>
              <w:spacing w:line="360" w:lineRule="auto"/>
              <w:jc w:val="center"/>
              <w:rPr>
                <w:rFonts w:hint="eastAsia" w:ascii="仿宋" w:hAnsi="仿宋" w:eastAsia="仿宋" w:cs="仿宋"/>
                <w:sz w:val="24"/>
                <w:szCs w:val="24"/>
              </w:rPr>
            </w:pPr>
          </w:p>
        </w:tc>
        <w:tc>
          <w:tcPr>
            <w:tcW w:w="1326" w:type="dxa"/>
            <w:noWrap w:val="0"/>
            <w:vAlign w:val="top"/>
          </w:tcPr>
          <w:p w14:paraId="5C6F26D9">
            <w:pPr>
              <w:pageBreakBefore w:val="0"/>
              <w:kinsoku/>
              <w:wordWrap w:val="0"/>
              <w:overflowPunct/>
              <w:bidi w:val="0"/>
              <w:spacing w:line="360" w:lineRule="auto"/>
              <w:jc w:val="center"/>
              <w:rPr>
                <w:rFonts w:hint="eastAsia" w:ascii="仿宋" w:hAnsi="仿宋" w:eastAsia="仿宋" w:cs="仿宋"/>
                <w:sz w:val="24"/>
                <w:szCs w:val="24"/>
              </w:rPr>
            </w:pPr>
          </w:p>
        </w:tc>
        <w:tc>
          <w:tcPr>
            <w:tcW w:w="1326" w:type="dxa"/>
            <w:noWrap w:val="0"/>
            <w:vAlign w:val="top"/>
          </w:tcPr>
          <w:p w14:paraId="71EA7BF5">
            <w:pPr>
              <w:pageBreakBefore w:val="0"/>
              <w:kinsoku/>
              <w:wordWrap w:val="0"/>
              <w:overflowPunct/>
              <w:bidi w:val="0"/>
              <w:spacing w:line="360" w:lineRule="auto"/>
              <w:jc w:val="center"/>
              <w:rPr>
                <w:rFonts w:hint="eastAsia" w:ascii="仿宋" w:hAnsi="仿宋" w:eastAsia="仿宋" w:cs="仿宋"/>
                <w:sz w:val="24"/>
                <w:szCs w:val="24"/>
              </w:rPr>
            </w:pPr>
          </w:p>
        </w:tc>
      </w:tr>
    </w:tbl>
    <w:p w14:paraId="5F2FBF3E">
      <w:pPr>
        <w:pStyle w:val="78"/>
        <w:spacing w:line="360" w:lineRule="auto"/>
        <w:ind w:left="0"/>
        <w:jc w:val="left"/>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注：根据评标办法提供证明材料</w:t>
      </w:r>
    </w:p>
    <w:p w14:paraId="7EF80D92">
      <w:pPr>
        <w:keepNext w:val="0"/>
        <w:keepLines w:val="0"/>
        <w:widowControl/>
        <w:suppressLineNumbers w:val="0"/>
        <w:jc w:val="left"/>
        <w:rPr>
          <w:rFonts w:hint="eastAsia" w:ascii="仿宋" w:hAnsi="仿宋" w:eastAsia="仿宋" w:cs="仿宋"/>
          <w:b/>
          <w:bCs/>
          <w:kern w:val="2"/>
          <w:sz w:val="28"/>
          <w:szCs w:val="28"/>
          <w:lang w:val="en-US" w:eastAsia="zh-CN" w:bidi="ar-SA"/>
        </w:rPr>
      </w:pPr>
    </w:p>
    <w:p w14:paraId="5F04D02D">
      <w:pPr>
        <w:keepNext w:val="0"/>
        <w:keepLines w:val="0"/>
        <w:widowControl/>
        <w:suppressLineNumbers w:val="0"/>
        <w:jc w:val="left"/>
        <w:rPr>
          <w:rFonts w:hint="eastAsia" w:ascii="仿宋" w:hAnsi="仿宋" w:eastAsia="仿宋" w:cs="仿宋"/>
          <w:sz w:val="24"/>
          <w:szCs w:val="24"/>
          <w:highlight w:val="none"/>
          <w:lang w:val="en-US" w:eastAsia="zh-CN"/>
        </w:rPr>
      </w:pPr>
      <w:r>
        <w:rPr>
          <w:rFonts w:hint="eastAsia" w:ascii="仿宋" w:hAnsi="仿宋" w:eastAsia="仿宋" w:cs="仿宋"/>
          <w:b/>
          <w:bCs/>
          <w:kern w:val="2"/>
          <w:sz w:val="28"/>
          <w:szCs w:val="28"/>
          <w:lang w:val="en-US" w:eastAsia="zh-CN" w:bidi="ar-SA"/>
        </w:rPr>
        <w:t xml:space="preserve">格式6 </w:t>
      </w:r>
      <w:r>
        <w:rPr>
          <w:rFonts w:hint="eastAsia" w:ascii="仿宋" w:hAnsi="仿宋" w:eastAsia="仿宋" w:cs="仿宋"/>
          <w:b/>
          <w:bCs/>
          <w:sz w:val="28"/>
          <w:szCs w:val="28"/>
          <w:lang w:val="en-US" w:eastAsia="zh-CN"/>
        </w:rPr>
        <w:t>人员配备</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格式自拟</w:t>
      </w:r>
      <w:r>
        <w:rPr>
          <w:rFonts w:hint="eastAsia" w:ascii="仿宋" w:hAnsi="仿宋" w:eastAsia="仿宋" w:cs="仿宋"/>
          <w:b/>
          <w:bCs/>
          <w:sz w:val="28"/>
          <w:szCs w:val="28"/>
          <w:lang w:eastAsia="zh-CN"/>
        </w:rPr>
        <w:t>）</w:t>
      </w:r>
    </w:p>
    <w:p w14:paraId="23350041">
      <w:pPr>
        <w:pStyle w:val="78"/>
        <w:spacing w:line="360" w:lineRule="auto"/>
        <w:ind w:left="0"/>
        <w:jc w:val="center"/>
        <w:rPr>
          <w:rFonts w:hint="eastAsia" w:ascii="仿宋" w:hAnsi="仿宋" w:eastAsia="仿宋" w:cs="仿宋"/>
          <w:color w:val="auto"/>
          <w:sz w:val="28"/>
          <w:szCs w:val="28"/>
          <w:highlight w:val="none"/>
        </w:rPr>
      </w:pPr>
    </w:p>
    <w:p w14:paraId="1DBE5004">
      <w:pPr>
        <w:keepNext w:val="0"/>
        <w:keepLines w:val="0"/>
        <w:widowControl/>
        <w:suppressLineNumbers w:val="0"/>
        <w:jc w:val="left"/>
        <w:rPr>
          <w:rFonts w:hint="eastAsia" w:ascii="仿宋" w:hAnsi="仿宋" w:eastAsia="仿宋" w:cs="仿宋"/>
          <w:b/>
          <w:bCs/>
          <w:kern w:val="2"/>
          <w:sz w:val="28"/>
          <w:szCs w:val="28"/>
          <w:lang w:val="en-US" w:eastAsia="zh-CN" w:bidi="ar-SA"/>
        </w:rPr>
      </w:pPr>
      <w:r>
        <w:rPr>
          <w:rFonts w:hint="eastAsia" w:ascii="仿宋" w:hAnsi="仿宋" w:eastAsia="仿宋" w:cs="仿宋"/>
          <w:color w:val="auto"/>
          <w:sz w:val="28"/>
          <w:szCs w:val="28"/>
          <w:highlight w:val="none"/>
        </w:rPr>
        <w:t>格式</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w:t>
      </w:r>
      <w:r>
        <w:rPr>
          <w:rFonts w:hint="eastAsia" w:ascii="仿宋" w:hAnsi="仿宋" w:eastAsia="仿宋" w:cs="仿宋"/>
          <w:b/>
          <w:bCs/>
          <w:kern w:val="2"/>
          <w:sz w:val="28"/>
          <w:szCs w:val="28"/>
          <w:lang w:val="en-US" w:eastAsia="zh-CN" w:bidi="ar-SA"/>
        </w:rPr>
        <w:t>服务方案</w:t>
      </w:r>
    </w:p>
    <w:p w14:paraId="2E23063E">
      <w:pPr>
        <w:keepNext w:val="0"/>
        <w:keepLines w:val="0"/>
        <w:widowControl/>
        <w:suppressLineNumbers w:val="0"/>
        <w:jc w:val="left"/>
        <w:rPr>
          <w:rFonts w:hint="eastAsia" w:ascii="仿宋" w:hAnsi="仿宋" w:eastAsia="仿宋" w:cs="仿宋"/>
          <w:color w:val="FF0000"/>
          <w:sz w:val="24"/>
          <w:szCs w:val="24"/>
          <w:highlight w:val="none"/>
          <w:lang w:val="en-US" w:eastAsia="zh-CN"/>
        </w:rPr>
      </w:pPr>
      <w:r>
        <w:rPr>
          <w:rFonts w:hint="eastAsia" w:ascii="仿宋" w:hAnsi="仿宋" w:eastAsia="仿宋" w:cs="仿宋"/>
          <w:color w:val="FF0000"/>
          <w:sz w:val="24"/>
          <w:szCs w:val="24"/>
        </w:rPr>
        <w:t>（项目理解及总体服务思路</w:t>
      </w:r>
      <w:r>
        <w:rPr>
          <w:rFonts w:hint="eastAsia" w:ascii="仿宋" w:hAnsi="仿宋" w:eastAsia="仿宋" w:cs="仿宋"/>
          <w:color w:val="FF0000"/>
          <w:sz w:val="24"/>
          <w:szCs w:val="24"/>
          <w:lang w:eastAsia="zh-CN"/>
        </w:rPr>
        <w:t>、</w:t>
      </w:r>
      <w:r>
        <w:rPr>
          <w:rFonts w:hint="eastAsia" w:ascii="仿宋" w:hAnsi="仿宋" w:eastAsia="仿宋" w:cs="仿宋"/>
          <w:color w:val="FF0000"/>
          <w:sz w:val="24"/>
          <w:szCs w:val="24"/>
        </w:rPr>
        <w:t>基础资料收集、现状调查及建设需求分析方案</w:t>
      </w:r>
      <w:r>
        <w:rPr>
          <w:rFonts w:hint="eastAsia" w:ascii="仿宋" w:hAnsi="仿宋" w:eastAsia="仿宋" w:cs="仿宋"/>
          <w:color w:val="FF0000"/>
          <w:sz w:val="24"/>
          <w:szCs w:val="24"/>
          <w:lang w:eastAsia="zh-CN"/>
        </w:rPr>
        <w:t>、</w:t>
      </w:r>
      <w:r>
        <w:rPr>
          <w:rFonts w:hint="eastAsia" w:ascii="仿宋" w:hAnsi="仿宋" w:eastAsia="仿宋" w:cs="仿宋"/>
          <w:color w:val="FF0000"/>
          <w:sz w:val="24"/>
          <w:szCs w:val="24"/>
        </w:rPr>
        <w:t>可行性研究报告编制方案</w:t>
      </w:r>
      <w:r>
        <w:rPr>
          <w:rFonts w:hint="eastAsia" w:ascii="仿宋" w:hAnsi="仿宋" w:eastAsia="仿宋" w:cs="仿宋"/>
          <w:color w:val="FF0000"/>
          <w:sz w:val="24"/>
          <w:szCs w:val="24"/>
          <w:lang w:eastAsia="zh-CN"/>
        </w:rPr>
        <w:t>、</w:t>
      </w:r>
      <w:r>
        <w:rPr>
          <w:rFonts w:hint="eastAsia" w:ascii="仿宋" w:hAnsi="仿宋" w:eastAsia="仿宋" w:cs="仿宋"/>
          <w:color w:val="FF0000"/>
          <w:sz w:val="24"/>
          <w:szCs w:val="24"/>
        </w:rPr>
        <w:t>初步设计文本及投资概算编制方案</w:t>
      </w:r>
      <w:r>
        <w:rPr>
          <w:rFonts w:hint="eastAsia" w:ascii="仿宋" w:hAnsi="仿宋" w:eastAsia="仿宋" w:cs="仿宋"/>
          <w:color w:val="FF0000"/>
          <w:sz w:val="24"/>
          <w:szCs w:val="24"/>
          <w:lang w:eastAsia="zh-CN"/>
        </w:rPr>
        <w:t>、</w:t>
      </w:r>
      <w:r>
        <w:rPr>
          <w:rFonts w:hint="eastAsia" w:ascii="仿宋" w:hAnsi="仿宋" w:eastAsia="仿宋" w:cs="仿宋"/>
          <w:color w:val="FF0000"/>
          <w:sz w:val="24"/>
          <w:szCs w:val="24"/>
        </w:rPr>
        <w:t>项目申报方案编制及政策衔接措施</w:t>
      </w:r>
      <w:r>
        <w:rPr>
          <w:rFonts w:hint="eastAsia" w:ascii="仿宋" w:hAnsi="仿宋" w:eastAsia="仿宋" w:cs="仿宋"/>
          <w:color w:val="FF0000"/>
          <w:kern w:val="0"/>
          <w:sz w:val="24"/>
          <w:szCs w:val="24"/>
          <w:highlight w:val="none"/>
          <w:lang w:eastAsia="zh-CN"/>
        </w:rPr>
        <w:t>，</w:t>
      </w:r>
      <w:r>
        <w:rPr>
          <w:rFonts w:hint="eastAsia" w:ascii="仿宋" w:hAnsi="仿宋" w:eastAsia="仿宋" w:cs="仿宋"/>
          <w:color w:val="FF0000"/>
          <w:sz w:val="24"/>
          <w:szCs w:val="24"/>
        </w:rPr>
        <w:t>格式自拟）</w:t>
      </w:r>
    </w:p>
    <w:p w14:paraId="2468AECB">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br w:type="page"/>
      </w:r>
    </w:p>
    <w:p w14:paraId="27BF456D">
      <w:pPr>
        <w:pStyle w:val="78"/>
        <w:spacing w:line="360" w:lineRule="auto"/>
        <w:ind w:left="0"/>
        <w:jc w:val="center"/>
        <w:rPr>
          <w:rFonts w:hint="eastAsia" w:ascii="仿宋" w:hAnsi="仿宋" w:eastAsia="仿宋" w:cs="仿宋"/>
          <w:b w:val="0"/>
          <w:color w:val="auto"/>
          <w:sz w:val="28"/>
          <w:szCs w:val="28"/>
          <w:highlight w:val="none"/>
        </w:rPr>
      </w:pPr>
      <w:r>
        <w:rPr>
          <w:rFonts w:hint="eastAsia" w:ascii="仿宋" w:hAnsi="仿宋" w:eastAsia="仿宋" w:cs="仿宋"/>
          <w:color w:val="auto"/>
          <w:sz w:val="28"/>
          <w:szCs w:val="28"/>
          <w:highlight w:val="none"/>
          <w:lang w:val="en-US" w:eastAsia="zh-CN"/>
        </w:rPr>
        <w:t xml:space="preserve">格式8 </w:t>
      </w:r>
      <w:r>
        <w:rPr>
          <w:rFonts w:hint="eastAsia" w:ascii="仿宋" w:hAnsi="仿宋" w:eastAsia="仿宋" w:cs="仿宋"/>
          <w:color w:val="auto"/>
          <w:sz w:val="28"/>
          <w:szCs w:val="28"/>
          <w:highlight w:val="none"/>
        </w:rPr>
        <w:t>承诺函</w:t>
      </w:r>
    </w:p>
    <w:p w14:paraId="6342CFFD">
      <w:pPr>
        <w:spacing w:line="360" w:lineRule="auto"/>
        <w:ind w:right="119"/>
        <w:jc w:val="center"/>
        <w:rPr>
          <w:rFonts w:hint="eastAsia" w:ascii="仿宋" w:hAnsi="仿宋" w:eastAsia="仿宋" w:cs="仿宋"/>
          <w:color w:val="auto"/>
          <w:kern w:val="0"/>
          <w:sz w:val="24"/>
          <w:highlight w:val="none"/>
          <w:u w:val="none"/>
        </w:rPr>
      </w:pPr>
    </w:p>
    <w:p w14:paraId="5ECB77DA">
      <w:pPr>
        <w:spacing w:line="360" w:lineRule="auto"/>
        <w:ind w:right="119"/>
        <w:rPr>
          <w:rFonts w:hint="eastAsia" w:ascii="仿宋" w:hAnsi="仿宋" w:eastAsia="仿宋" w:cs="仿宋"/>
          <w:color w:val="auto"/>
          <w:kern w:val="0"/>
          <w:sz w:val="24"/>
          <w:highlight w:val="none"/>
          <w:u w:val="single"/>
        </w:rPr>
      </w:pPr>
    </w:p>
    <w:p w14:paraId="2B77DD4E">
      <w:pPr>
        <w:spacing w:line="360" w:lineRule="auto"/>
        <w:ind w:right="119"/>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致：</w:t>
      </w:r>
      <w:r>
        <w:rPr>
          <w:rFonts w:hint="eastAsia" w:ascii="仿宋" w:hAnsi="仿宋" w:eastAsia="仿宋" w:cs="仿宋"/>
          <w:color w:val="auto"/>
          <w:kern w:val="0"/>
          <w:sz w:val="24"/>
          <w:highlight w:val="none"/>
          <w:u w:val="single"/>
          <w:lang w:val="en-US" w:eastAsia="zh-CN"/>
        </w:rPr>
        <w:t>采购人</w:t>
      </w:r>
    </w:p>
    <w:p w14:paraId="081BE73D">
      <w:pPr>
        <w:spacing w:line="360" w:lineRule="auto"/>
        <w:ind w:right="119"/>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我公司</w:t>
      </w:r>
      <w:r>
        <w:rPr>
          <w:rFonts w:hint="eastAsia" w:ascii="仿宋" w:hAnsi="仿宋" w:eastAsia="仿宋" w:cs="仿宋"/>
          <w:color w:val="auto"/>
          <w:kern w:val="0"/>
          <w:sz w:val="24"/>
          <w:highlight w:val="none"/>
          <w:u w:val="single"/>
          <w:lang w:val="en-US" w:eastAsia="zh-CN"/>
        </w:rPr>
        <w:t xml:space="preserve">    （供应商）    </w:t>
      </w:r>
      <w:r>
        <w:rPr>
          <w:rFonts w:hint="eastAsia" w:ascii="仿宋" w:hAnsi="仿宋" w:eastAsia="仿宋" w:cs="仿宋"/>
          <w:color w:val="auto"/>
          <w:kern w:val="0"/>
          <w:sz w:val="24"/>
          <w:highlight w:val="none"/>
          <w:lang w:val="en-US" w:eastAsia="zh-CN"/>
        </w:rPr>
        <w:t xml:space="preserve">承诺无以下行为； </w:t>
      </w:r>
    </w:p>
    <w:p w14:paraId="74B20482">
      <w:pPr>
        <w:spacing w:line="360" w:lineRule="auto"/>
        <w:ind w:right="119"/>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 xml:space="preserve">（1）供应商被人民法院列入失信被执行人的； </w:t>
      </w:r>
    </w:p>
    <w:p w14:paraId="3A86A4BA">
      <w:pPr>
        <w:spacing w:line="360" w:lineRule="auto"/>
        <w:ind w:right="119"/>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 xml:space="preserve">（2）供应商或其法定代表人或拟派项目经理（项目负责人）被人民检察院列入行贿犯罪档案的； </w:t>
      </w:r>
    </w:p>
    <w:p w14:paraId="11A2DC6B">
      <w:pPr>
        <w:spacing w:line="360" w:lineRule="auto"/>
        <w:ind w:right="119"/>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 xml:space="preserve">（3）供应商被工商行政管理部门列入企业经营异常名录的； </w:t>
      </w:r>
    </w:p>
    <w:p w14:paraId="622CF0DA">
      <w:pPr>
        <w:spacing w:line="360" w:lineRule="auto"/>
        <w:ind w:right="119"/>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 xml:space="preserve">（4）供应商被税务部门列入重大税收违法案件当事人名单的； </w:t>
      </w:r>
    </w:p>
    <w:p w14:paraId="0BD28A98">
      <w:pPr>
        <w:spacing w:line="360" w:lineRule="auto"/>
        <w:ind w:right="119"/>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 xml:space="preserve">（5）供应商被政府采购监管部门列入政府采购严重违法失信行为记录名单的。 </w:t>
      </w:r>
    </w:p>
    <w:p w14:paraId="4AABA565">
      <w:pPr>
        <w:spacing w:line="360" w:lineRule="auto"/>
        <w:ind w:right="119"/>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 xml:space="preserve">本公司对上述声明的真实性负责。如有虚假，将依法承担相应责任 </w:t>
      </w:r>
    </w:p>
    <w:p w14:paraId="6D60B7F3">
      <w:pPr>
        <w:spacing w:line="360" w:lineRule="auto"/>
        <w:ind w:right="119"/>
        <w:rPr>
          <w:rFonts w:hint="eastAsia" w:ascii="仿宋" w:hAnsi="仿宋" w:eastAsia="仿宋" w:cs="仿宋"/>
          <w:color w:val="auto"/>
          <w:kern w:val="0"/>
          <w:sz w:val="24"/>
          <w:highlight w:val="none"/>
          <w:lang w:val="en-US" w:eastAsia="zh-CN"/>
        </w:rPr>
      </w:pPr>
    </w:p>
    <w:p w14:paraId="0A9F7D8A">
      <w:pPr>
        <w:spacing w:line="360" w:lineRule="auto"/>
        <w:ind w:right="119"/>
        <w:rPr>
          <w:rFonts w:hint="eastAsia" w:ascii="仿宋" w:hAnsi="仿宋" w:eastAsia="仿宋" w:cs="仿宋"/>
          <w:color w:val="auto"/>
          <w:kern w:val="0"/>
          <w:sz w:val="24"/>
          <w:highlight w:val="none"/>
          <w:lang w:val="en-US" w:eastAsia="zh-CN"/>
        </w:rPr>
      </w:pPr>
    </w:p>
    <w:p w14:paraId="632E650D">
      <w:pPr>
        <w:spacing w:line="360" w:lineRule="auto"/>
        <w:ind w:right="119"/>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 xml:space="preserve">法定代表人或委托代理人（签字或盖章）： </w:t>
      </w:r>
    </w:p>
    <w:p w14:paraId="14197E75">
      <w:pPr>
        <w:spacing w:line="360" w:lineRule="auto"/>
        <w:ind w:right="119"/>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 xml:space="preserve">供应商名称（公章）： </w:t>
      </w:r>
    </w:p>
    <w:p w14:paraId="1E9DA978">
      <w:pPr>
        <w:spacing w:line="360" w:lineRule="auto"/>
        <w:ind w:right="119"/>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 xml:space="preserve">日期： </w:t>
      </w:r>
    </w:p>
    <w:p w14:paraId="2F22BE3F">
      <w:pPr>
        <w:spacing w:line="360" w:lineRule="auto"/>
        <w:ind w:right="119"/>
        <w:rPr>
          <w:rFonts w:hint="eastAsia" w:ascii="仿宋" w:hAnsi="仿宋" w:eastAsia="仿宋" w:cs="仿宋"/>
          <w:color w:val="auto"/>
          <w:kern w:val="0"/>
          <w:sz w:val="24"/>
          <w:highlight w:val="none"/>
        </w:rPr>
      </w:pPr>
    </w:p>
    <w:p w14:paraId="3DA33D58">
      <w:pPr>
        <w:pStyle w:val="78"/>
        <w:spacing w:line="360" w:lineRule="auto"/>
        <w:ind w:left="0"/>
        <w:jc w:val="center"/>
        <w:rPr>
          <w:rFonts w:hint="eastAsia" w:ascii="仿宋" w:hAnsi="仿宋" w:eastAsia="仿宋" w:cs="仿宋"/>
          <w:color w:val="auto"/>
          <w:sz w:val="28"/>
          <w:szCs w:val="28"/>
          <w:highlight w:val="none"/>
        </w:rPr>
      </w:pPr>
    </w:p>
    <w:p w14:paraId="74018CA0">
      <w:pPr>
        <w:pStyle w:val="78"/>
        <w:spacing w:line="360" w:lineRule="auto"/>
        <w:ind w:left="0"/>
        <w:jc w:val="center"/>
        <w:rPr>
          <w:rFonts w:hint="eastAsia" w:ascii="仿宋" w:hAnsi="仿宋" w:eastAsia="仿宋" w:cs="仿宋"/>
          <w:color w:val="auto"/>
          <w:sz w:val="28"/>
          <w:szCs w:val="28"/>
          <w:highlight w:val="none"/>
        </w:rPr>
      </w:pPr>
    </w:p>
    <w:p w14:paraId="31D7607D">
      <w:pPr>
        <w:pStyle w:val="78"/>
        <w:spacing w:line="360" w:lineRule="auto"/>
        <w:ind w:left="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p>
    <w:p w14:paraId="51D91240">
      <w:pPr>
        <w:pStyle w:val="78"/>
        <w:spacing w:line="360" w:lineRule="auto"/>
        <w:ind w:left="0"/>
        <w:jc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格式</w:t>
      </w:r>
      <w:r>
        <w:rPr>
          <w:rFonts w:hint="eastAsia" w:ascii="仿宋" w:hAnsi="仿宋" w:eastAsia="仿宋" w:cs="仿宋"/>
          <w:color w:val="auto"/>
          <w:sz w:val="28"/>
          <w:szCs w:val="28"/>
          <w:highlight w:val="none"/>
          <w:lang w:val="en-US" w:eastAsia="zh-CN"/>
        </w:rPr>
        <w:t>9、其它材料</w:t>
      </w:r>
    </w:p>
    <w:p w14:paraId="6A927382">
      <w:pPr>
        <w:pStyle w:val="78"/>
        <w:spacing w:line="360" w:lineRule="auto"/>
        <w:ind w:left="0"/>
        <w:jc w:val="center"/>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（格式自拟）</w:t>
      </w:r>
    </w:p>
    <w:p w14:paraId="367FD35E">
      <w:pPr>
        <w:numPr>
          <w:ilvl w:val="0"/>
          <w:numId w:val="0"/>
        </w:numPr>
        <w:spacing w:line="360" w:lineRule="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kern w:val="2"/>
          <w:sz w:val="28"/>
          <w:szCs w:val="28"/>
          <w:lang w:val="en-US" w:eastAsia="zh-CN" w:bidi="ar-SA"/>
        </w:rPr>
        <w:t>1、</w:t>
      </w:r>
      <w:r>
        <w:rPr>
          <w:rFonts w:hint="eastAsia" w:ascii="仿宋" w:hAnsi="仿宋" w:eastAsia="仿宋" w:cs="仿宋"/>
          <w:color w:val="auto"/>
          <w:sz w:val="28"/>
          <w:szCs w:val="28"/>
          <w:highlight w:val="none"/>
          <w:lang w:val="en-US" w:eastAsia="zh-CN"/>
        </w:rPr>
        <w:t>竞争性磋商文件内须提供的其他证明材料</w:t>
      </w:r>
    </w:p>
    <w:p w14:paraId="32F4877C">
      <w:pPr>
        <w:numPr>
          <w:ilvl w:val="0"/>
          <w:numId w:val="0"/>
        </w:numPr>
        <w:spacing w:line="360" w:lineRule="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（信誉承诺或截图等）</w:t>
      </w:r>
    </w:p>
    <w:p w14:paraId="1B193EC5">
      <w:pPr>
        <w:numPr>
          <w:ilvl w:val="0"/>
          <w:numId w:val="0"/>
        </w:numPr>
        <w:spacing w:line="360" w:lineRule="auto"/>
        <w:rPr>
          <w:rFonts w:hint="eastAsia" w:ascii="仿宋" w:hAnsi="仿宋" w:eastAsia="仿宋" w:cs="仿宋"/>
          <w:color w:val="auto"/>
          <w:sz w:val="24"/>
          <w:szCs w:val="24"/>
        </w:rPr>
      </w:pPr>
    </w:p>
    <w:p w14:paraId="1BB3C77C">
      <w:pPr>
        <w:pStyle w:val="78"/>
        <w:spacing w:line="360" w:lineRule="auto"/>
        <w:ind w:left="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r>
        <w:rPr>
          <w:rFonts w:hint="eastAsia" w:ascii="仿宋" w:hAnsi="仿宋" w:eastAsia="仿宋" w:cs="仿宋"/>
          <w:color w:val="auto"/>
          <w:sz w:val="28"/>
          <w:szCs w:val="28"/>
          <w:highlight w:val="none"/>
        </w:rPr>
        <w:t>第八章 最终报价或第   次报价表</w:t>
      </w:r>
    </w:p>
    <w:p w14:paraId="66379F86">
      <w:pPr>
        <w:pStyle w:val="9"/>
        <w:rPr>
          <w:rFonts w:hint="eastAsia" w:ascii="仿宋" w:hAnsi="仿宋" w:eastAsia="仿宋" w:cs="仿宋"/>
          <w:color w:val="auto"/>
          <w:highlight w:val="none"/>
        </w:rPr>
      </w:pPr>
    </w:p>
    <w:p w14:paraId="41757ABE">
      <w:pPr>
        <w:autoSpaceDE w:val="0"/>
        <w:autoSpaceDN w:val="0"/>
        <w:adjustRightInd w:val="0"/>
        <w:spacing w:line="360" w:lineRule="auto"/>
        <w:ind w:firstLine="442" w:firstLineChars="200"/>
        <w:outlineLvl w:val="0"/>
        <w:rPr>
          <w:rFonts w:ascii="仿宋" w:hAnsi="仿宋" w:eastAsia="仿宋" w:cs="仿宋"/>
          <w:b/>
          <w:kern w:val="1"/>
          <w:sz w:val="24"/>
          <w:szCs w:val="28"/>
        </w:rPr>
      </w:pPr>
      <w:bookmarkStart w:id="989" w:name="_Toc18595"/>
      <w:bookmarkStart w:id="990" w:name="_Toc18174"/>
      <w:r>
        <w:rPr>
          <w:rFonts w:hint="eastAsia" w:ascii="仿宋" w:hAnsi="仿宋" w:eastAsia="仿宋" w:cs="仿宋"/>
          <w:b/>
          <w:kern w:val="1"/>
          <w:sz w:val="22"/>
        </w:rPr>
        <w:t>项目名称</w:t>
      </w:r>
      <w:bookmarkEnd w:id="989"/>
      <w:r>
        <w:rPr>
          <w:rFonts w:hint="eastAsia" w:ascii="仿宋" w:hAnsi="仿宋" w:eastAsia="仿宋" w:cs="仿宋"/>
          <w:b/>
          <w:kern w:val="1"/>
          <w:sz w:val="22"/>
        </w:rPr>
        <w:t>：</w:t>
      </w:r>
      <w:bookmarkEnd w:id="990"/>
      <w:bookmarkStart w:id="991" w:name="_Toc18732"/>
      <w:bookmarkStart w:id="992" w:name="_Toc26052"/>
      <w:r>
        <w:rPr>
          <w:rFonts w:hint="eastAsia" w:ascii="仿宋" w:hAnsi="仿宋" w:eastAsia="仿宋" w:cs="仿宋"/>
          <w:b/>
          <w:kern w:val="1"/>
          <w:sz w:val="22"/>
          <w:u w:val="single"/>
          <w:lang w:val="en-US" w:eastAsia="zh-CN"/>
        </w:rPr>
        <w:t xml:space="preserve">                （  包） </w:t>
      </w:r>
      <w:r>
        <w:rPr>
          <w:rFonts w:hint="eastAsia" w:ascii="仿宋" w:hAnsi="仿宋" w:eastAsia="仿宋" w:cs="仿宋"/>
          <w:b/>
          <w:kern w:val="1"/>
          <w:sz w:val="22"/>
          <w:lang w:val="en-US" w:eastAsia="zh-CN"/>
        </w:rPr>
        <w:t xml:space="preserve">                   </w:t>
      </w:r>
      <w:r>
        <w:rPr>
          <w:rFonts w:hint="eastAsia" w:ascii="仿宋" w:hAnsi="仿宋" w:eastAsia="仿宋" w:cs="仿宋"/>
          <w:b/>
          <w:kern w:val="1"/>
          <w:sz w:val="22"/>
        </w:rPr>
        <w:t>项目编号：</w:t>
      </w:r>
      <w:r>
        <w:rPr>
          <w:rFonts w:hint="eastAsia" w:ascii="仿宋" w:hAnsi="仿宋" w:eastAsia="仿宋" w:cs="仿宋"/>
          <w:b/>
          <w:kern w:val="1"/>
          <w:sz w:val="22"/>
          <w:u w:val="single"/>
        </w:rPr>
        <w:t xml:space="preserve">          </w:t>
      </w:r>
      <w:r>
        <w:rPr>
          <w:rFonts w:hint="eastAsia" w:ascii="仿宋" w:hAnsi="仿宋" w:eastAsia="仿宋" w:cs="仿宋"/>
          <w:b/>
          <w:kern w:val="1"/>
          <w:sz w:val="22"/>
        </w:rPr>
        <w:t xml:space="preserve">              </w:t>
      </w:r>
      <w:bookmarkEnd w:id="991"/>
      <w:bookmarkEnd w:id="992"/>
    </w:p>
    <w:tbl>
      <w:tblPr>
        <w:tblStyle w:val="30"/>
        <w:tblW w:w="88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1"/>
        <w:gridCol w:w="7031"/>
      </w:tblGrid>
      <w:tr w14:paraId="32CC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791" w:type="dxa"/>
            <w:tcBorders>
              <w:top w:val="single" w:color="auto" w:sz="4" w:space="0"/>
              <w:left w:val="single" w:color="auto" w:sz="4" w:space="0"/>
              <w:bottom w:val="single" w:color="auto" w:sz="4" w:space="0"/>
              <w:right w:val="single" w:color="auto" w:sz="4" w:space="0"/>
            </w:tcBorders>
            <w:noWrap w:val="0"/>
            <w:vAlign w:val="center"/>
          </w:tcPr>
          <w:p w14:paraId="02CE0DAE">
            <w:pPr>
              <w:autoSpaceDE w:val="0"/>
              <w:autoSpaceDN w:val="0"/>
              <w:adjustRightInd w:val="0"/>
              <w:snapToGrid w:val="0"/>
              <w:spacing w:line="360" w:lineRule="auto"/>
              <w:jc w:val="center"/>
              <w:rPr>
                <w:rFonts w:ascii="仿宋" w:hAnsi="仿宋" w:eastAsia="仿宋" w:cs="仿宋"/>
                <w:bCs/>
                <w:sz w:val="24"/>
              </w:rPr>
            </w:pPr>
            <w:r>
              <w:rPr>
                <w:rFonts w:hint="eastAsia" w:ascii="仿宋" w:hAnsi="仿宋" w:eastAsia="仿宋" w:cs="仿宋"/>
                <w:bCs/>
                <w:sz w:val="24"/>
              </w:rPr>
              <w:t>项目名称</w:t>
            </w:r>
          </w:p>
        </w:tc>
        <w:tc>
          <w:tcPr>
            <w:tcW w:w="7031" w:type="dxa"/>
            <w:tcBorders>
              <w:top w:val="single" w:color="auto" w:sz="4" w:space="0"/>
              <w:left w:val="nil"/>
              <w:bottom w:val="single" w:color="auto" w:sz="4" w:space="0"/>
              <w:right w:val="single" w:color="auto" w:sz="4" w:space="0"/>
            </w:tcBorders>
            <w:noWrap w:val="0"/>
            <w:vAlign w:val="center"/>
          </w:tcPr>
          <w:p w14:paraId="6CEAE365">
            <w:pPr>
              <w:autoSpaceDE w:val="0"/>
              <w:autoSpaceDN w:val="0"/>
              <w:adjustRightInd w:val="0"/>
              <w:snapToGrid w:val="0"/>
              <w:spacing w:line="360" w:lineRule="auto"/>
              <w:jc w:val="center"/>
              <w:rPr>
                <w:rFonts w:ascii="仿宋" w:hAnsi="仿宋" w:eastAsia="仿宋" w:cs="仿宋"/>
                <w:bCs/>
                <w:sz w:val="24"/>
              </w:rPr>
            </w:pPr>
          </w:p>
        </w:tc>
      </w:tr>
      <w:tr w14:paraId="41D7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7" w:hRule="atLeast"/>
          <w:jc w:val="center"/>
        </w:trPr>
        <w:tc>
          <w:tcPr>
            <w:tcW w:w="1791" w:type="dxa"/>
            <w:tcBorders>
              <w:top w:val="single" w:color="auto" w:sz="4" w:space="0"/>
              <w:left w:val="single" w:color="auto" w:sz="4" w:space="0"/>
              <w:bottom w:val="single" w:color="auto" w:sz="4" w:space="0"/>
              <w:right w:val="single" w:color="auto" w:sz="4" w:space="0"/>
            </w:tcBorders>
            <w:noWrap w:val="0"/>
            <w:vAlign w:val="center"/>
          </w:tcPr>
          <w:p w14:paraId="778965BC">
            <w:pPr>
              <w:autoSpaceDE w:val="0"/>
              <w:autoSpaceDN w:val="0"/>
              <w:adjustRightInd w:val="0"/>
              <w:snapToGrid w:val="0"/>
              <w:spacing w:line="360" w:lineRule="auto"/>
              <w:jc w:val="center"/>
              <w:rPr>
                <w:rFonts w:ascii="仿宋" w:hAnsi="仿宋" w:eastAsia="仿宋" w:cs="仿宋"/>
                <w:bCs/>
                <w:sz w:val="24"/>
              </w:rPr>
            </w:pPr>
            <w:r>
              <w:rPr>
                <w:rFonts w:hint="eastAsia" w:ascii="仿宋" w:hAnsi="仿宋" w:eastAsia="仿宋" w:cs="仿宋"/>
                <w:bCs/>
                <w:sz w:val="24"/>
              </w:rPr>
              <w:t>报价</w:t>
            </w:r>
          </w:p>
        </w:tc>
        <w:tc>
          <w:tcPr>
            <w:tcW w:w="7031" w:type="dxa"/>
            <w:tcBorders>
              <w:top w:val="single" w:color="auto" w:sz="4" w:space="0"/>
              <w:left w:val="nil"/>
              <w:bottom w:val="single" w:color="auto" w:sz="4" w:space="0"/>
              <w:right w:val="single" w:color="auto" w:sz="4" w:space="0"/>
            </w:tcBorders>
            <w:noWrap w:val="0"/>
            <w:vAlign w:val="center"/>
          </w:tcPr>
          <w:p w14:paraId="0FD7E28A">
            <w:pPr>
              <w:autoSpaceDE w:val="0"/>
              <w:autoSpaceDN w:val="0"/>
              <w:adjustRightInd w:val="0"/>
              <w:snapToGrid w:val="0"/>
              <w:spacing w:line="360" w:lineRule="auto"/>
              <w:rPr>
                <w:rFonts w:hint="eastAsia" w:ascii="仿宋" w:hAnsi="仿宋" w:eastAsia="仿宋" w:cs="仿宋"/>
                <w:bCs/>
                <w:sz w:val="24"/>
                <w:u w:val="single"/>
              </w:rPr>
            </w:pPr>
            <w:r>
              <w:rPr>
                <w:rFonts w:hint="eastAsia" w:ascii="仿宋" w:hAnsi="仿宋" w:eastAsia="仿宋" w:cs="仿宋"/>
                <w:bCs/>
                <w:sz w:val="24"/>
                <w:lang w:val="en-US" w:eastAsia="zh-CN"/>
              </w:rPr>
              <w:t>投标总价：</w:t>
            </w:r>
            <w:r>
              <w:rPr>
                <w:rFonts w:hint="eastAsia" w:ascii="仿宋" w:hAnsi="仿宋" w:eastAsia="仿宋" w:cs="仿宋"/>
                <w:bCs/>
                <w:sz w:val="24"/>
              </w:rPr>
              <w:t>大写：</w:t>
            </w:r>
            <w:r>
              <w:rPr>
                <w:rFonts w:hint="eastAsia" w:ascii="仿宋" w:hAnsi="仿宋" w:eastAsia="仿宋" w:cs="仿宋"/>
                <w:bCs/>
                <w:sz w:val="24"/>
                <w:u w:val="single"/>
              </w:rPr>
              <w:t xml:space="preserve">   </w:t>
            </w:r>
            <w:r>
              <w:rPr>
                <w:rFonts w:hint="eastAsia" w:ascii="仿宋" w:hAnsi="仿宋" w:eastAsia="仿宋" w:cs="仿宋"/>
                <w:bCs/>
                <w:sz w:val="24"/>
                <w:u w:val="single"/>
                <w:lang w:val="en-US" w:eastAsia="zh-CN"/>
              </w:rPr>
              <w:t xml:space="preserve">    </w:t>
            </w:r>
            <w:r>
              <w:rPr>
                <w:rFonts w:hint="eastAsia" w:ascii="仿宋" w:hAnsi="仿宋" w:eastAsia="仿宋" w:cs="仿宋"/>
                <w:bCs/>
                <w:sz w:val="24"/>
                <w:u w:val="single"/>
              </w:rPr>
              <w:t xml:space="preserve">      </w:t>
            </w:r>
            <w:r>
              <w:rPr>
                <w:rFonts w:hint="eastAsia" w:ascii="仿宋" w:hAnsi="仿宋" w:eastAsia="仿宋" w:cs="仿宋"/>
                <w:bCs/>
                <w:sz w:val="24"/>
                <w:u w:val="none"/>
              </w:rPr>
              <w:t>元</w:t>
            </w:r>
          </w:p>
          <w:p w14:paraId="5B4D9DDD">
            <w:pPr>
              <w:autoSpaceDE w:val="0"/>
              <w:autoSpaceDN w:val="0"/>
              <w:adjustRightInd w:val="0"/>
              <w:snapToGrid w:val="0"/>
              <w:spacing w:line="360" w:lineRule="auto"/>
              <w:ind w:firstLine="1200" w:firstLineChars="500"/>
              <w:rPr>
                <w:rFonts w:ascii="仿宋" w:hAnsi="仿宋" w:eastAsia="仿宋" w:cs="仿宋"/>
                <w:bCs/>
                <w:sz w:val="24"/>
              </w:rPr>
            </w:pPr>
            <w:r>
              <w:rPr>
                <w:rFonts w:hint="eastAsia" w:ascii="仿宋" w:hAnsi="仿宋" w:eastAsia="仿宋" w:cs="仿宋"/>
                <w:bCs/>
                <w:sz w:val="24"/>
              </w:rPr>
              <w:t>小写：</w:t>
            </w:r>
            <w:r>
              <w:rPr>
                <w:rFonts w:hint="eastAsia" w:ascii="仿宋" w:hAnsi="仿宋" w:eastAsia="仿宋" w:cs="仿宋"/>
                <w:bCs/>
                <w:sz w:val="24"/>
                <w:u w:val="single"/>
              </w:rPr>
              <w:t xml:space="preserve">   </w:t>
            </w:r>
            <w:r>
              <w:rPr>
                <w:rFonts w:hint="eastAsia" w:ascii="仿宋" w:hAnsi="仿宋" w:eastAsia="仿宋" w:cs="仿宋"/>
                <w:bCs/>
                <w:sz w:val="24"/>
                <w:u w:val="single"/>
                <w:lang w:val="en-US" w:eastAsia="zh-CN"/>
              </w:rPr>
              <w:t xml:space="preserve">    </w:t>
            </w:r>
            <w:r>
              <w:rPr>
                <w:rFonts w:hint="eastAsia" w:ascii="仿宋" w:hAnsi="仿宋" w:eastAsia="仿宋" w:cs="仿宋"/>
                <w:bCs/>
                <w:sz w:val="24"/>
                <w:u w:val="single"/>
              </w:rPr>
              <w:t xml:space="preserve">      </w:t>
            </w:r>
            <w:r>
              <w:rPr>
                <w:rFonts w:hint="eastAsia" w:ascii="仿宋" w:hAnsi="仿宋" w:eastAsia="仿宋" w:cs="仿宋"/>
                <w:bCs/>
                <w:sz w:val="24"/>
                <w:u w:val="none"/>
              </w:rPr>
              <w:t>元</w:t>
            </w:r>
          </w:p>
        </w:tc>
      </w:tr>
      <w:tr w14:paraId="0A7B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1791" w:type="dxa"/>
            <w:tcBorders>
              <w:top w:val="single" w:color="auto" w:sz="4" w:space="0"/>
              <w:left w:val="single" w:color="auto" w:sz="4" w:space="0"/>
              <w:bottom w:val="single" w:color="auto" w:sz="4" w:space="0"/>
              <w:right w:val="single" w:color="auto" w:sz="4" w:space="0"/>
            </w:tcBorders>
            <w:noWrap w:val="0"/>
            <w:vAlign w:val="center"/>
          </w:tcPr>
          <w:p w14:paraId="360BD711">
            <w:pPr>
              <w:autoSpaceDE w:val="0"/>
              <w:autoSpaceDN w:val="0"/>
              <w:adjustRightInd w:val="0"/>
              <w:snapToGrid w:val="0"/>
              <w:spacing w:line="360" w:lineRule="auto"/>
              <w:jc w:val="center"/>
              <w:rPr>
                <w:rFonts w:ascii="仿宋" w:hAnsi="仿宋" w:eastAsia="仿宋" w:cs="仿宋"/>
                <w:bCs/>
                <w:sz w:val="24"/>
              </w:rPr>
            </w:pPr>
            <w:r>
              <w:rPr>
                <w:rFonts w:hint="eastAsia" w:ascii="仿宋" w:hAnsi="仿宋" w:eastAsia="仿宋" w:cs="仿宋"/>
                <w:bCs/>
                <w:sz w:val="24"/>
              </w:rPr>
              <w:t>投标有效期</w:t>
            </w:r>
          </w:p>
        </w:tc>
        <w:tc>
          <w:tcPr>
            <w:tcW w:w="7031" w:type="dxa"/>
            <w:tcBorders>
              <w:top w:val="single" w:color="auto" w:sz="4" w:space="0"/>
              <w:left w:val="nil"/>
              <w:bottom w:val="single" w:color="auto" w:sz="4" w:space="0"/>
              <w:right w:val="single" w:color="auto" w:sz="4" w:space="0"/>
            </w:tcBorders>
            <w:noWrap w:val="0"/>
            <w:vAlign w:val="center"/>
          </w:tcPr>
          <w:p w14:paraId="0F4F8C59">
            <w:pPr>
              <w:autoSpaceDE w:val="0"/>
              <w:autoSpaceDN w:val="0"/>
              <w:adjustRightInd w:val="0"/>
              <w:snapToGrid w:val="0"/>
              <w:spacing w:line="360" w:lineRule="auto"/>
              <w:rPr>
                <w:rFonts w:ascii="仿宋" w:hAnsi="仿宋" w:eastAsia="仿宋" w:cs="仿宋"/>
                <w:bCs/>
                <w:sz w:val="24"/>
              </w:rPr>
            </w:pPr>
            <w:r>
              <w:rPr>
                <w:rFonts w:hint="eastAsia" w:ascii="仿宋" w:hAnsi="仿宋" w:eastAsia="仿宋" w:cs="仿宋"/>
                <w:bCs/>
                <w:sz w:val="24"/>
                <w:u w:val="single"/>
              </w:rPr>
              <w:t xml:space="preserve">         </w:t>
            </w:r>
            <w:r>
              <w:rPr>
                <w:rFonts w:hint="eastAsia" w:ascii="仿宋" w:hAnsi="仿宋" w:eastAsia="仿宋" w:cs="仿宋"/>
                <w:bCs/>
                <w:sz w:val="24"/>
              </w:rPr>
              <w:t>日历天</w:t>
            </w:r>
          </w:p>
        </w:tc>
      </w:tr>
      <w:tr w14:paraId="44EFF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791" w:type="dxa"/>
            <w:tcBorders>
              <w:top w:val="single" w:color="auto" w:sz="4" w:space="0"/>
              <w:left w:val="single" w:color="auto" w:sz="4" w:space="0"/>
              <w:bottom w:val="single" w:color="auto" w:sz="4" w:space="0"/>
              <w:right w:val="single" w:color="auto" w:sz="4" w:space="0"/>
            </w:tcBorders>
            <w:noWrap w:val="0"/>
            <w:vAlign w:val="center"/>
          </w:tcPr>
          <w:p w14:paraId="30EE6F8C">
            <w:pPr>
              <w:autoSpaceDE w:val="0"/>
              <w:autoSpaceDN w:val="0"/>
              <w:adjustRightInd w:val="0"/>
              <w:snapToGrid w:val="0"/>
              <w:spacing w:line="360" w:lineRule="auto"/>
              <w:jc w:val="center"/>
              <w:rPr>
                <w:rFonts w:ascii="仿宋" w:hAnsi="仿宋" w:eastAsia="仿宋" w:cs="仿宋"/>
                <w:bCs/>
                <w:sz w:val="24"/>
              </w:rPr>
            </w:pPr>
            <w:r>
              <w:rPr>
                <w:rFonts w:hint="eastAsia" w:ascii="仿宋" w:hAnsi="仿宋" w:eastAsia="仿宋" w:cs="仿宋"/>
                <w:bCs/>
                <w:sz w:val="24"/>
              </w:rPr>
              <w:t>质量要求</w:t>
            </w:r>
          </w:p>
        </w:tc>
        <w:tc>
          <w:tcPr>
            <w:tcW w:w="7031" w:type="dxa"/>
            <w:tcBorders>
              <w:top w:val="single" w:color="auto" w:sz="4" w:space="0"/>
              <w:left w:val="nil"/>
              <w:bottom w:val="single" w:color="auto" w:sz="4" w:space="0"/>
              <w:right w:val="single" w:color="auto" w:sz="4" w:space="0"/>
            </w:tcBorders>
            <w:noWrap w:val="0"/>
            <w:vAlign w:val="center"/>
          </w:tcPr>
          <w:p w14:paraId="26B435D6">
            <w:pPr>
              <w:autoSpaceDE w:val="0"/>
              <w:autoSpaceDN w:val="0"/>
              <w:adjustRightInd w:val="0"/>
              <w:snapToGrid w:val="0"/>
              <w:spacing w:line="360" w:lineRule="auto"/>
              <w:jc w:val="center"/>
              <w:rPr>
                <w:rFonts w:ascii="仿宋" w:hAnsi="仿宋" w:eastAsia="仿宋" w:cs="仿宋"/>
                <w:bCs/>
                <w:sz w:val="24"/>
              </w:rPr>
            </w:pPr>
          </w:p>
        </w:tc>
      </w:tr>
      <w:tr w14:paraId="14951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791" w:type="dxa"/>
            <w:tcBorders>
              <w:top w:val="single" w:color="auto" w:sz="4" w:space="0"/>
              <w:left w:val="single" w:color="auto" w:sz="4" w:space="0"/>
              <w:bottom w:val="single" w:color="auto" w:sz="4" w:space="0"/>
              <w:right w:val="single" w:color="auto" w:sz="4" w:space="0"/>
            </w:tcBorders>
            <w:noWrap w:val="0"/>
            <w:vAlign w:val="center"/>
          </w:tcPr>
          <w:p w14:paraId="6DFB5157">
            <w:pPr>
              <w:autoSpaceDE w:val="0"/>
              <w:autoSpaceDN w:val="0"/>
              <w:adjustRightInd w:val="0"/>
              <w:snapToGrid w:val="0"/>
              <w:spacing w:line="360" w:lineRule="auto"/>
              <w:jc w:val="center"/>
              <w:rPr>
                <w:rFonts w:ascii="仿宋" w:hAnsi="仿宋" w:eastAsia="仿宋" w:cs="仿宋"/>
                <w:bCs/>
                <w:sz w:val="24"/>
              </w:rPr>
            </w:pPr>
            <w:r>
              <w:rPr>
                <w:rFonts w:hint="eastAsia" w:ascii="仿宋" w:hAnsi="仿宋" w:eastAsia="仿宋" w:cs="仿宋"/>
                <w:bCs/>
                <w:sz w:val="24"/>
                <w:lang w:val="en-US" w:eastAsia="zh-CN"/>
              </w:rPr>
              <w:t>服务期</w:t>
            </w:r>
          </w:p>
        </w:tc>
        <w:tc>
          <w:tcPr>
            <w:tcW w:w="7031" w:type="dxa"/>
            <w:tcBorders>
              <w:top w:val="single" w:color="auto" w:sz="4" w:space="0"/>
              <w:left w:val="nil"/>
              <w:bottom w:val="single" w:color="auto" w:sz="4" w:space="0"/>
              <w:right w:val="single" w:color="auto" w:sz="4" w:space="0"/>
            </w:tcBorders>
            <w:noWrap w:val="0"/>
            <w:vAlign w:val="center"/>
          </w:tcPr>
          <w:p w14:paraId="00D2FF2C">
            <w:pPr>
              <w:autoSpaceDE w:val="0"/>
              <w:autoSpaceDN w:val="0"/>
              <w:adjustRightInd w:val="0"/>
              <w:snapToGrid w:val="0"/>
              <w:spacing w:line="360" w:lineRule="auto"/>
              <w:jc w:val="center"/>
              <w:rPr>
                <w:rFonts w:ascii="仿宋" w:hAnsi="仿宋" w:eastAsia="仿宋" w:cs="仿宋"/>
                <w:bCs/>
                <w:sz w:val="24"/>
              </w:rPr>
            </w:pPr>
          </w:p>
        </w:tc>
      </w:tr>
      <w:tr w14:paraId="2252F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1791" w:type="dxa"/>
            <w:tcBorders>
              <w:top w:val="single" w:color="auto" w:sz="4" w:space="0"/>
              <w:left w:val="single" w:color="auto" w:sz="4" w:space="0"/>
              <w:bottom w:val="single" w:color="auto" w:sz="4" w:space="0"/>
              <w:right w:val="single" w:color="auto" w:sz="4" w:space="0"/>
            </w:tcBorders>
            <w:noWrap w:val="0"/>
            <w:vAlign w:val="center"/>
          </w:tcPr>
          <w:p w14:paraId="75FC30E2">
            <w:pPr>
              <w:autoSpaceDE w:val="0"/>
              <w:autoSpaceDN w:val="0"/>
              <w:adjustRightInd w:val="0"/>
              <w:snapToGrid w:val="0"/>
              <w:spacing w:line="360" w:lineRule="auto"/>
              <w:jc w:val="center"/>
              <w:rPr>
                <w:rFonts w:ascii="仿宋" w:hAnsi="仿宋" w:eastAsia="仿宋" w:cs="仿宋"/>
                <w:bCs/>
                <w:sz w:val="24"/>
              </w:rPr>
            </w:pPr>
            <w:r>
              <w:rPr>
                <w:rFonts w:hint="eastAsia" w:ascii="仿宋" w:hAnsi="仿宋" w:eastAsia="仿宋" w:cs="仿宋"/>
                <w:bCs/>
                <w:sz w:val="24"/>
              </w:rPr>
              <w:t>是否响应磋商内容及要求</w:t>
            </w:r>
          </w:p>
        </w:tc>
        <w:tc>
          <w:tcPr>
            <w:tcW w:w="7031" w:type="dxa"/>
            <w:tcBorders>
              <w:top w:val="single" w:color="auto" w:sz="4" w:space="0"/>
              <w:left w:val="nil"/>
              <w:bottom w:val="single" w:color="auto" w:sz="4" w:space="0"/>
              <w:right w:val="single" w:color="auto" w:sz="4" w:space="0"/>
            </w:tcBorders>
            <w:noWrap w:val="0"/>
            <w:vAlign w:val="center"/>
          </w:tcPr>
          <w:p w14:paraId="3AC601A1">
            <w:pPr>
              <w:autoSpaceDE w:val="0"/>
              <w:autoSpaceDN w:val="0"/>
              <w:adjustRightInd w:val="0"/>
              <w:snapToGrid w:val="0"/>
              <w:spacing w:line="360" w:lineRule="auto"/>
              <w:jc w:val="both"/>
              <w:rPr>
                <w:rFonts w:ascii="仿宋" w:hAnsi="仿宋" w:eastAsia="仿宋" w:cs="仿宋"/>
                <w:bCs/>
                <w:sz w:val="24"/>
              </w:rPr>
            </w:pPr>
            <w:r>
              <w:rPr>
                <w:rFonts w:hint="eastAsia" w:ascii="仿宋" w:hAnsi="仿宋" w:eastAsia="仿宋" w:cs="仿宋"/>
                <w:bCs/>
                <w:sz w:val="24"/>
              </w:rPr>
              <w:t>是□    否</w:t>
            </w:r>
            <w:r>
              <w:rPr>
                <w:rFonts w:hint="eastAsia" w:ascii="仿宋" w:hAnsi="仿宋" w:eastAsia="仿宋" w:cs="仿宋"/>
                <w:bCs/>
                <w:sz w:val="24"/>
              </w:rPr>
              <w:sym w:font="Wingdings 2" w:char="00A3"/>
            </w:r>
            <w:r>
              <w:rPr>
                <w:rFonts w:hint="eastAsia" w:ascii="仿宋" w:hAnsi="仿宋" w:eastAsia="仿宋" w:cs="仿宋"/>
                <w:bCs/>
                <w:sz w:val="24"/>
              </w:rPr>
              <w:t xml:space="preserve">   （划√）</w:t>
            </w:r>
          </w:p>
        </w:tc>
      </w:tr>
      <w:tr w14:paraId="2213E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1791" w:type="dxa"/>
            <w:tcBorders>
              <w:top w:val="single" w:color="auto" w:sz="4" w:space="0"/>
              <w:left w:val="single" w:color="auto" w:sz="4" w:space="0"/>
              <w:bottom w:val="single" w:color="auto" w:sz="4" w:space="0"/>
              <w:right w:val="single" w:color="auto" w:sz="4" w:space="0"/>
            </w:tcBorders>
            <w:noWrap w:val="0"/>
            <w:vAlign w:val="center"/>
          </w:tcPr>
          <w:p w14:paraId="2F8FA00C">
            <w:pPr>
              <w:autoSpaceDE w:val="0"/>
              <w:autoSpaceDN w:val="0"/>
              <w:adjustRightInd w:val="0"/>
              <w:snapToGrid w:val="0"/>
              <w:spacing w:line="360" w:lineRule="auto"/>
              <w:jc w:val="center"/>
              <w:rPr>
                <w:rFonts w:ascii="仿宋" w:hAnsi="仿宋" w:eastAsia="仿宋" w:cs="仿宋"/>
                <w:bCs/>
                <w:sz w:val="24"/>
              </w:rPr>
            </w:pPr>
            <w:r>
              <w:rPr>
                <w:rFonts w:hint="eastAsia" w:ascii="仿宋" w:hAnsi="仿宋" w:eastAsia="仿宋" w:cs="仿宋"/>
                <w:bCs/>
                <w:sz w:val="24"/>
              </w:rPr>
              <w:t>其他</w:t>
            </w:r>
          </w:p>
        </w:tc>
        <w:tc>
          <w:tcPr>
            <w:tcW w:w="7031" w:type="dxa"/>
            <w:tcBorders>
              <w:top w:val="single" w:color="auto" w:sz="4" w:space="0"/>
              <w:left w:val="nil"/>
              <w:bottom w:val="single" w:color="auto" w:sz="4" w:space="0"/>
              <w:right w:val="single" w:color="auto" w:sz="4" w:space="0"/>
            </w:tcBorders>
            <w:noWrap w:val="0"/>
            <w:vAlign w:val="center"/>
          </w:tcPr>
          <w:p w14:paraId="4A20C99B">
            <w:pPr>
              <w:autoSpaceDE w:val="0"/>
              <w:autoSpaceDN w:val="0"/>
              <w:adjustRightInd w:val="0"/>
              <w:snapToGrid w:val="0"/>
              <w:spacing w:line="360" w:lineRule="auto"/>
              <w:jc w:val="left"/>
              <w:rPr>
                <w:rFonts w:hint="default" w:ascii="仿宋" w:hAnsi="仿宋" w:eastAsia="仿宋" w:cs="仿宋"/>
                <w:bCs/>
                <w:sz w:val="24"/>
                <w:lang w:val="en-US" w:eastAsia="zh-CN"/>
              </w:rPr>
            </w:pPr>
          </w:p>
        </w:tc>
      </w:tr>
    </w:tbl>
    <w:p w14:paraId="64238C78">
      <w:pPr>
        <w:spacing w:line="360" w:lineRule="auto"/>
        <w:rPr>
          <w:rFonts w:ascii="仿宋" w:hAnsi="仿宋" w:eastAsia="仿宋" w:cs="仿宋"/>
          <w:kern w:val="1"/>
          <w:sz w:val="24"/>
        </w:rPr>
      </w:pPr>
    </w:p>
    <w:p w14:paraId="740A20AD">
      <w:pPr>
        <w:spacing w:line="360" w:lineRule="auto"/>
        <w:ind w:firstLine="240" w:firstLineChars="100"/>
        <w:rPr>
          <w:rFonts w:ascii="仿宋" w:hAnsi="仿宋" w:eastAsia="仿宋" w:cs="仿宋"/>
          <w:kern w:val="1"/>
          <w:sz w:val="24"/>
        </w:rPr>
      </w:pPr>
      <w:r>
        <w:rPr>
          <w:rFonts w:hint="eastAsia" w:ascii="仿宋" w:hAnsi="仿宋" w:eastAsia="仿宋" w:cs="仿宋"/>
          <w:kern w:val="1"/>
          <w:sz w:val="24"/>
        </w:rPr>
        <w:t xml:space="preserve">供应商：（公章）               </w:t>
      </w:r>
      <w:r>
        <w:rPr>
          <w:rFonts w:hint="eastAsia" w:ascii="仿宋" w:hAnsi="仿宋" w:eastAsia="仿宋" w:cs="仿宋"/>
          <w:kern w:val="1"/>
          <w:sz w:val="24"/>
          <w:lang w:val="en-US" w:eastAsia="zh-CN"/>
        </w:rPr>
        <w:t xml:space="preserve">  </w:t>
      </w:r>
      <w:r>
        <w:rPr>
          <w:rFonts w:hint="eastAsia" w:ascii="仿宋" w:hAnsi="仿宋" w:eastAsia="仿宋" w:cs="仿宋"/>
          <w:kern w:val="1"/>
          <w:sz w:val="24"/>
        </w:rPr>
        <w:t>法定代表人或授权委托人（签字或盖章）：</w:t>
      </w:r>
    </w:p>
    <w:p w14:paraId="11DEF6EC">
      <w:pPr>
        <w:spacing w:line="360" w:lineRule="auto"/>
        <w:ind w:firstLine="6720" w:firstLineChars="2800"/>
        <w:jc w:val="left"/>
        <w:rPr>
          <w:rFonts w:ascii="仿宋" w:hAnsi="仿宋" w:eastAsia="仿宋" w:cs="仿宋"/>
          <w:kern w:val="1"/>
          <w:sz w:val="24"/>
        </w:rPr>
      </w:pPr>
      <w:r>
        <w:rPr>
          <w:rFonts w:hint="eastAsia" w:ascii="仿宋" w:hAnsi="仿宋" w:eastAsia="仿宋" w:cs="仿宋"/>
          <w:kern w:val="1"/>
          <w:sz w:val="24"/>
        </w:rPr>
        <w:t>年   月   日</w:t>
      </w:r>
    </w:p>
    <w:p w14:paraId="5033C012">
      <w:pPr>
        <w:pStyle w:val="23"/>
        <w:jc w:val="left"/>
        <w:rPr>
          <w:rFonts w:hint="eastAsia" w:ascii="仿宋" w:hAnsi="仿宋" w:eastAsia="仿宋" w:cs="仿宋"/>
          <w:b/>
          <w:bCs/>
          <w:color w:val="auto"/>
          <w:sz w:val="24"/>
          <w:szCs w:val="24"/>
          <w:highlight w:val="none"/>
        </w:rPr>
      </w:pPr>
    </w:p>
    <w:p w14:paraId="6A62AE73">
      <w:pPr>
        <w:spacing w:line="360" w:lineRule="auto"/>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auto"/>
          <w:sz w:val="24"/>
          <w:szCs w:val="24"/>
          <w:highlight w:val="none"/>
        </w:rPr>
        <w:t>注：</w:t>
      </w:r>
      <w:r>
        <w:rPr>
          <w:rFonts w:hint="eastAsia" w:ascii="仿宋" w:hAnsi="仿宋" w:eastAsia="仿宋" w:cs="仿宋"/>
          <w:color w:val="000000" w:themeColor="text1"/>
          <w:sz w:val="24"/>
          <w:szCs w:val="24"/>
          <w14:textFill>
            <w14:solidFill>
              <w14:schemeClr w14:val="tx1"/>
            </w14:solidFill>
          </w14:textFill>
        </w:rPr>
        <w:t>注：</w:t>
      </w:r>
      <w:r>
        <w:rPr>
          <w:rFonts w:hint="eastAsia" w:ascii="仿宋" w:hAnsi="仿宋" w:eastAsia="仿宋" w:cs="仿宋"/>
          <w:b/>
          <w:color w:val="000000" w:themeColor="text1"/>
          <w:sz w:val="24"/>
          <w:szCs w:val="24"/>
          <w14:textFill>
            <w14:solidFill>
              <w14:schemeClr w14:val="tx1"/>
            </w14:solidFill>
          </w14:textFill>
        </w:rPr>
        <w:t>本页&lt;最终报价或第二次报价表&gt;由投标人在磋商现场依磋商情况填写，请加盖公章后带至磋商现场备填（不需装订在磋商响应文件内，建议准备不少于两张），</w:t>
      </w:r>
      <w:r>
        <w:rPr>
          <w:rFonts w:hint="eastAsia" w:ascii="仿宋" w:hAnsi="仿宋" w:eastAsia="仿宋" w:cs="仿宋"/>
          <w:color w:val="000000" w:themeColor="text1"/>
          <w:sz w:val="24"/>
          <w:szCs w:val="24"/>
          <w14:textFill>
            <w14:solidFill>
              <w14:schemeClr w14:val="tx1"/>
            </w14:solidFill>
          </w14:textFill>
        </w:rPr>
        <w:t>该表供磋商现场报价使用，打印该空表用于现场最终报价</w:t>
      </w:r>
      <w:r>
        <w:rPr>
          <w:rFonts w:hint="eastAsia" w:ascii="仿宋" w:hAnsi="仿宋" w:eastAsia="仿宋" w:cs="仿宋"/>
          <w:b/>
          <w:color w:val="000000" w:themeColor="text1"/>
          <w:sz w:val="24"/>
          <w:szCs w:val="24"/>
          <w14:textFill>
            <w14:solidFill>
              <w14:schemeClr w14:val="tx1"/>
            </w14:solidFill>
          </w14:textFill>
        </w:rPr>
        <w:t>（不得高于一次报价）</w:t>
      </w:r>
      <w:r>
        <w:rPr>
          <w:rFonts w:hint="eastAsia" w:ascii="仿宋" w:hAnsi="仿宋" w:eastAsia="仿宋" w:cs="仿宋"/>
          <w:color w:val="000000" w:themeColor="text1"/>
          <w:sz w:val="24"/>
          <w:szCs w:val="24"/>
          <w14:textFill>
            <w14:solidFill>
              <w14:schemeClr w14:val="tx1"/>
            </w14:solidFill>
          </w14:textFill>
        </w:rPr>
        <w:t>。考虑投标报价的方便，投标人在填写的最终承诺报价为合同总价，项目所需费用均包含在合同总价内。项目分项报价表/清单中的价格按两次报价的下浮值同比例下浮。</w:t>
      </w:r>
    </w:p>
    <w:p w14:paraId="01D1282D">
      <w:pPr>
        <w:rPr>
          <w:rFonts w:ascii="仿宋" w:hAnsi="仿宋" w:eastAsia="仿宋" w:cs="仿宋"/>
          <w:color w:val="auto"/>
          <w:sz w:val="21"/>
          <w:szCs w:val="21"/>
          <w:highlight w:val="none"/>
        </w:rPr>
      </w:pPr>
    </w:p>
    <w:sectPr>
      <w:footerReference r:id="rId3" w:type="default"/>
      <w:pgSz w:w="11910" w:h="16850"/>
      <w:pgMar w:top="1247" w:right="1134" w:bottom="1134" w:left="1134" w:header="720" w:footer="510"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CF86651-EE01-475F-85F7-D9239C2513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EBFEE59-10FF-46D9-BF66-C942BF347206}"/>
  </w:font>
  <w:font w:name="仿宋">
    <w:panose1 w:val="02010609060101010101"/>
    <w:charset w:val="86"/>
    <w:family w:val="auto"/>
    <w:pitch w:val="default"/>
    <w:sig w:usb0="800002BF" w:usb1="38CF7CFA" w:usb2="00000016" w:usb3="00000000" w:csb0="00040001" w:csb1="00000000"/>
    <w:embedRegular r:id="rId3" w:fontKey="{C14E60AC-3DAA-452A-A191-CEE9934F815A}"/>
  </w:font>
  <w:font w:name="Calibri Light">
    <w:panose1 w:val="020F03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monospace">
    <w:altName w:val="宋体"/>
    <w:panose1 w:val="00000000000000000000"/>
    <w:charset w:val="00"/>
    <w:family w:val="auto"/>
    <w:pitch w:val="default"/>
    <w:sig w:usb0="00000000" w:usb1="00000000" w:usb2="00000000" w:usb3="00000000" w:csb0="00040001" w:csb1="00000000"/>
  </w:font>
  <w:font w:name="方正小标宋简体">
    <w:altName w:val="黑体"/>
    <w:panose1 w:val="02000000000000000000"/>
    <w:charset w:val="86"/>
    <w:family w:val="script"/>
    <w:pitch w:val="default"/>
    <w:sig w:usb0="00000000" w:usb1="00000000" w:usb2="00000000" w:usb3="00000000" w:csb0="00040000" w:csb1="00000000"/>
    <w:embedRegular r:id="rId4" w:fontKey="{26A32776-74C6-4874-ABC0-8CC63402A450}"/>
  </w:font>
  <w:font w:name="楷体_GB2312">
    <w:altName w:val="楷体"/>
    <w:panose1 w:val="02010609030101010101"/>
    <w:charset w:val="86"/>
    <w:family w:val="modern"/>
    <w:pitch w:val="default"/>
    <w:sig w:usb0="00000000" w:usb1="00000000" w:usb2="00000000" w:usb3="00000000" w:csb0="00040000" w:csb1="00000000"/>
    <w:embedRegular r:id="rId5" w:fontKey="{541EA361-A97B-4070-9A5B-3E1382B3BD13}"/>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auto"/>
    <w:pitch w:val="default"/>
    <w:sig w:usb0="00000000" w:usb1="00000000" w:usb2="00000000" w:usb3="00000000" w:csb0="80000000" w:csb1="00000000"/>
    <w:embedRegular r:id="rId6" w:fontKey="{C49BDD9B-F833-455D-A3D0-906C2C8C6B63}"/>
  </w:font>
  <w:font w:name="KSOF439EEF50">
    <w:panose1 w:val="02010609060101010101"/>
    <w:charset w:val="86"/>
    <w:family w:val="auto"/>
    <w:pitch w:val="default"/>
    <w:sig w:usb0="00000001" w:usb1="00000000" w:usb2="00000000"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52E35">
    <w:pPr>
      <w:pStyle w:val="1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58C9EC">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58C9EC">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2D3E40"/>
    <w:multiLevelType w:val="singleLevel"/>
    <w:tmpl w:val="362D3E40"/>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TrueTypeFonts/>
  <w:saveSubsetFonts/>
  <w:bordersDoNotSurroundHeader w:val="0"/>
  <w:bordersDoNotSurroundFooter w:val="0"/>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2ZGEzNDU4MjEyODA1OGQ4ODc5OTQ4MWE1Yzk5ZWYifQ=="/>
    <w:docVar w:name="KSO_WPS_MARK_KEY" w:val="96dd3bf4-f879-4580-9822-470761515a3c"/>
  </w:docVars>
  <w:rsids>
    <w:rsidRoot w:val="41276B18"/>
    <w:rsid w:val="0000282B"/>
    <w:rsid w:val="00023296"/>
    <w:rsid w:val="000264C5"/>
    <w:rsid w:val="00040A40"/>
    <w:rsid w:val="000441BC"/>
    <w:rsid w:val="00046C69"/>
    <w:rsid w:val="00060D27"/>
    <w:rsid w:val="000647D6"/>
    <w:rsid w:val="00066E1A"/>
    <w:rsid w:val="000968FA"/>
    <w:rsid w:val="000C5AA2"/>
    <w:rsid w:val="000E13EA"/>
    <w:rsid w:val="000E5D91"/>
    <w:rsid w:val="000F7489"/>
    <w:rsid w:val="000F783F"/>
    <w:rsid w:val="00102B7E"/>
    <w:rsid w:val="0010788B"/>
    <w:rsid w:val="00110EAA"/>
    <w:rsid w:val="00142197"/>
    <w:rsid w:val="00145BD1"/>
    <w:rsid w:val="00164967"/>
    <w:rsid w:val="00166FC3"/>
    <w:rsid w:val="00167FA2"/>
    <w:rsid w:val="001756E7"/>
    <w:rsid w:val="001757DF"/>
    <w:rsid w:val="00192EBF"/>
    <w:rsid w:val="00195956"/>
    <w:rsid w:val="001B1239"/>
    <w:rsid w:val="001D36DE"/>
    <w:rsid w:val="001F0711"/>
    <w:rsid w:val="001F5440"/>
    <w:rsid w:val="0020207B"/>
    <w:rsid w:val="0020384E"/>
    <w:rsid w:val="0021351B"/>
    <w:rsid w:val="002150F6"/>
    <w:rsid w:val="00240C14"/>
    <w:rsid w:val="00246E16"/>
    <w:rsid w:val="002504CE"/>
    <w:rsid w:val="002564A6"/>
    <w:rsid w:val="00272927"/>
    <w:rsid w:val="00277105"/>
    <w:rsid w:val="00280C8B"/>
    <w:rsid w:val="00285983"/>
    <w:rsid w:val="00295D54"/>
    <w:rsid w:val="00295DF9"/>
    <w:rsid w:val="002A3026"/>
    <w:rsid w:val="002A3F75"/>
    <w:rsid w:val="002A7F2C"/>
    <w:rsid w:val="002B2CBF"/>
    <w:rsid w:val="002B4CD1"/>
    <w:rsid w:val="002B6316"/>
    <w:rsid w:val="002C048C"/>
    <w:rsid w:val="002C388D"/>
    <w:rsid w:val="002C6756"/>
    <w:rsid w:val="002D7249"/>
    <w:rsid w:val="002E5A7B"/>
    <w:rsid w:val="003108B1"/>
    <w:rsid w:val="00310C41"/>
    <w:rsid w:val="00323776"/>
    <w:rsid w:val="00324101"/>
    <w:rsid w:val="00336209"/>
    <w:rsid w:val="0033695B"/>
    <w:rsid w:val="00361139"/>
    <w:rsid w:val="003822BA"/>
    <w:rsid w:val="00386544"/>
    <w:rsid w:val="003912F4"/>
    <w:rsid w:val="003A03F4"/>
    <w:rsid w:val="003A1B06"/>
    <w:rsid w:val="003A4044"/>
    <w:rsid w:val="003A4312"/>
    <w:rsid w:val="003A6EFF"/>
    <w:rsid w:val="003B314D"/>
    <w:rsid w:val="003B534D"/>
    <w:rsid w:val="003C2CB5"/>
    <w:rsid w:val="003D0708"/>
    <w:rsid w:val="003F631F"/>
    <w:rsid w:val="004029C7"/>
    <w:rsid w:val="00406868"/>
    <w:rsid w:val="0040779B"/>
    <w:rsid w:val="0041309E"/>
    <w:rsid w:val="00414098"/>
    <w:rsid w:val="00424319"/>
    <w:rsid w:val="0042552E"/>
    <w:rsid w:val="004267F1"/>
    <w:rsid w:val="00431C35"/>
    <w:rsid w:val="004556BA"/>
    <w:rsid w:val="00460A31"/>
    <w:rsid w:val="00460A9E"/>
    <w:rsid w:val="004655B7"/>
    <w:rsid w:val="00470DDB"/>
    <w:rsid w:val="00490C0A"/>
    <w:rsid w:val="004A1232"/>
    <w:rsid w:val="004A4EC5"/>
    <w:rsid w:val="004B0357"/>
    <w:rsid w:val="004B5ED5"/>
    <w:rsid w:val="004D3F33"/>
    <w:rsid w:val="004F0701"/>
    <w:rsid w:val="004F1D32"/>
    <w:rsid w:val="004F6C47"/>
    <w:rsid w:val="005141FD"/>
    <w:rsid w:val="00520A37"/>
    <w:rsid w:val="00523CA3"/>
    <w:rsid w:val="005300DA"/>
    <w:rsid w:val="00550F73"/>
    <w:rsid w:val="00554716"/>
    <w:rsid w:val="00572A2F"/>
    <w:rsid w:val="0057366B"/>
    <w:rsid w:val="00574A79"/>
    <w:rsid w:val="005776FB"/>
    <w:rsid w:val="0058445E"/>
    <w:rsid w:val="0059353C"/>
    <w:rsid w:val="005A1C09"/>
    <w:rsid w:val="005C3DA2"/>
    <w:rsid w:val="005D258A"/>
    <w:rsid w:val="005D3806"/>
    <w:rsid w:val="005D6148"/>
    <w:rsid w:val="005D642D"/>
    <w:rsid w:val="005F6421"/>
    <w:rsid w:val="005F7E0B"/>
    <w:rsid w:val="00600060"/>
    <w:rsid w:val="006065A5"/>
    <w:rsid w:val="00613741"/>
    <w:rsid w:val="0062250D"/>
    <w:rsid w:val="00640F71"/>
    <w:rsid w:val="00657898"/>
    <w:rsid w:val="00662DAB"/>
    <w:rsid w:val="006761CB"/>
    <w:rsid w:val="006844C6"/>
    <w:rsid w:val="00693F56"/>
    <w:rsid w:val="006B7ADE"/>
    <w:rsid w:val="006C1225"/>
    <w:rsid w:val="006C63F7"/>
    <w:rsid w:val="006D0681"/>
    <w:rsid w:val="006D6D35"/>
    <w:rsid w:val="006E37A8"/>
    <w:rsid w:val="006F6DD3"/>
    <w:rsid w:val="00705D4E"/>
    <w:rsid w:val="007148EE"/>
    <w:rsid w:val="00717B4A"/>
    <w:rsid w:val="0072371E"/>
    <w:rsid w:val="007311AC"/>
    <w:rsid w:val="007358A9"/>
    <w:rsid w:val="0075075A"/>
    <w:rsid w:val="00750E9F"/>
    <w:rsid w:val="00754475"/>
    <w:rsid w:val="00773230"/>
    <w:rsid w:val="007733DC"/>
    <w:rsid w:val="007750BD"/>
    <w:rsid w:val="007834EB"/>
    <w:rsid w:val="00787836"/>
    <w:rsid w:val="00791F17"/>
    <w:rsid w:val="007D054C"/>
    <w:rsid w:val="007E33BD"/>
    <w:rsid w:val="007F1582"/>
    <w:rsid w:val="007F4C7A"/>
    <w:rsid w:val="00800468"/>
    <w:rsid w:val="00805020"/>
    <w:rsid w:val="00806CE0"/>
    <w:rsid w:val="008332D3"/>
    <w:rsid w:val="00835C1B"/>
    <w:rsid w:val="00836064"/>
    <w:rsid w:val="00841702"/>
    <w:rsid w:val="008535C9"/>
    <w:rsid w:val="00853F5A"/>
    <w:rsid w:val="00857558"/>
    <w:rsid w:val="00862037"/>
    <w:rsid w:val="008626CD"/>
    <w:rsid w:val="00862F47"/>
    <w:rsid w:val="00863234"/>
    <w:rsid w:val="00866549"/>
    <w:rsid w:val="00867C3A"/>
    <w:rsid w:val="00873CDB"/>
    <w:rsid w:val="0087450D"/>
    <w:rsid w:val="00897271"/>
    <w:rsid w:val="00897777"/>
    <w:rsid w:val="00897BE2"/>
    <w:rsid w:val="008C1EE1"/>
    <w:rsid w:val="008C2169"/>
    <w:rsid w:val="008C5A7B"/>
    <w:rsid w:val="008D4A10"/>
    <w:rsid w:val="008E278E"/>
    <w:rsid w:val="008E6744"/>
    <w:rsid w:val="008E6D3A"/>
    <w:rsid w:val="008F1DF3"/>
    <w:rsid w:val="0090663F"/>
    <w:rsid w:val="009073AA"/>
    <w:rsid w:val="0091087D"/>
    <w:rsid w:val="0091188C"/>
    <w:rsid w:val="00916C28"/>
    <w:rsid w:val="00942B39"/>
    <w:rsid w:val="009431B9"/>
    <w:rsid w:val="00944098"/>
    <w:rsid w:val="009502AE"/>
    <w:rsid w:val="00951F96"/>
    <w:rsid w:val="00953470"/>
    <w:rsid w:val="00953B23"/>
    <w:rsid w:val="0095698A"/>
    <w:rsid w:val="00956D94"/>
    <w:rsid w:val="009633A8"/>
    <w:rsid w:val="009656DF"/>
    <w:rsid w:val="0097586E"/>
    <w:rsid w:val="009915D1"/>
    <w:rsid w:val="009A0646"/>
    <w:rsid w:val="009C0771"/>
    <w:rsid w:val="009E1246"/>
    <w:rsid w:val="00A03B21"/>
    <w:rsid w:val="00A03B31"/>
    <w:rsid w:val="00A0465B"/>
    <w:rsid w:val="00A04707"/>
    <w:rsid w:val="00A20289"/>
    <w:rsid w:val="00A21FA2"/>
    <w:rsid w:val="00A51409"/>
    <w:rsid w:val="00A66D11"/>
    <w:rsid w:val="00A71F37"/>
    <w:rsid w:val="00A80773"/>
    <w:rsid w:val="00A84E26"/>
    <w:rsid w:val="00A861FB"/>
    <w:rsid w:val="00AB0FAE"/>
    <w:rsid w:val="00AB58A3"/>
    <w:rsid w:val="00AE0BD2"/>
    <w:rsid w:val="00AE1337"/>
    <w:rsid w:val="00AE1B17"/>
    <w:rsid w:val="00B056F5"/>
    <w:rsid w:val="00B111E6"/>
    <w:rsid w:val="00B122E9"/>
    <w:rsid w:val="00B20BE4"/>
    <w:rsid w:val="00B2630B"/>
    <w:rsid w:val="00B27C96"/>
    <w:rsid w:val="00B3034B"/>
    <w:rsid w:val="00B30354"/>
    <w:rsid w:val="00B33E43"/>
    <w:rsid w:val="00B3445A"/>
    <w:rsid w:val="00B35431"/>
    <w:rsid w:val="00B4098C"/>
    <w:rsid w:val="00B47DA1"/>
    <w:rsid w:val="00B563BA"/>
    <w:rsid w:val="00B576C3"/>
    <w:rsid w:val="00BB7245"/>
    <w:rsid w:val="00BD0045"/>
    <w:rsid w:val="00BF3C26"/>
    <w:rsid w:val="00BF59DD"/>
    <w:rsid w:val="00BF7F19"/>
    <w:rsid w:val="00C10053"/>
    <w:rsid w:val="00C12AFE"/>
    <w:rsid w:val="00C25EE1"/>
    <w:rsid w:val="00C338BF"/>
    <w:rsid w:val="00C36690"/>
    <w:rsid w:val="00C41449"/>
    <w:rsid w:val="00C419FD"/>
    <w:rsid w:val="00C445AB"/>
    <w:rsid w:val="00C51AA0"/>
    <w:rsid w:val="00C53F1A"/>
    <w:rsid w:val="00C54499"/>
    <w:rsid w:val="00C55E82"/>
    <w:rsid w:val="00C740BB"/>
    <w:rsid w:val="00C91F44"/>
    <w:rsid w:val="00CA05CB"/>
    <w:rsid w:val="00CA3377"/>
    <w:rsid w:val="00CB282B"/>
    <w:rsid w:val="00CB442A"/>
    <w:rsid w:val="00CC0FCB"/>
    <w:rsid w:val="00CD029A"/>
    <w:rsid w:val="00CD02C7"/>
    <w:rsid w:val="00CE6C22"/>
    <w:rsid w:val="00CE6F24"/>
    <w:rsid w:val="00CF5B8A"/>
    <w:rsid w:val="00CF5CCE"/>
    <w:rsid w:val="00D02399"/>
    <w:rsid w:val="00D20235"/>
    <w:rsid w:val="00D53E07"/>
    <w:rsid w:val="00D64D2E"/>
    <w:rsid w:val="00D76BFA"/>
    <w:rsid w:val="00D77F02"/>
    <w:rsid w:val="00D823F9"/>
    <w:rsid w:val="00D864E1"/>
    <w:rsid w:val="00D912AB"/>
    <w:rsid w:val="00DA23D9"/>
    <w:rsid w:val="00DD57FD"/>
    <w:rsid w:val="00DD6E1D"/>
    <w:rsid w:val="00DD7B40"/>
    <w:rsid w:val="00DE0966"/>
    <w:rsid w:val="00DE3043"/>
    <w:rsid w:val="00DF1EA2"/>
    <w:rsid w:val="00DF2438"/>
    <w:rsid w:val="00DF2E71"/>
    <w:rsid w:val="00E006CE"/>
    <w:rsid w:val="00E141D5"/>
    <w:rsid w:val="00E173B7"/>
    <w:rsid w:val="00E22E49"/>
    <w:rsid w:val="00E25422"/>
    <w:rsid w:val="00E270E7"/>
    <w:rsid w:val="00E3565F"/>
    <w:rsid w:val="00E42FF4"/>
    <w:rsid w:val="00E45CCF"/>
    <w:rsid w:val="00E46A61"/>
    <w:rsid w:val="00E47201"/>
    <w:rsid w:val="00E568E8"/>
    <w:rsid w:val="00E827EE"/>
    <w:rsid w:val="00E95613"/>
    <w:rsid w:val="00E95BC3"/>
    <w:rsid w:val="00EA3100"/>
    <w:rsid w:val="00EB1D40"/>
    <w:rsid w:val="00ED3337"/>
    <w:rsid w:val="00EF4C89"/>
    <w:rsid w:val="00F05858"/>
    <w:rsid w:val="00F06F06"/>
    <w:rsid w:val="00F07058"/>
    <w:rsid w:val="00F0733C"/>
    <w:rsid w:val="00F1069E"/>
    <w:rsid w:val="00F21972"/>
    <w:rsid w:val="00F247E6"/>
    <w:rsid w:val="00F5086D"/>
    <w:rsid w:val="00F51B8E"/>
    <w:rsid w:val="00F7429B"/>
    <w:rsid w:val="00F80C03"/>
    <w:rsid w:val="00F87225"/>
    <w:rsid w:val="00F97CA3"/>
    <w:rsid w:val="00FB475C"/>
    <w:rsid w:val="00FC0DD3"/>
    <w:rsid w:val="00FC1208"/>
    <w:rsid w:val="00FC504C"/>
    <w:rsid w:val="00FC5A6C"/>
    <w:rsid w:val="00FD0E74"/>
    <w:rsid w:val="00FE11AD"/>
    <w:rsid w:val="00FF2CE2"/>
    <w:rsid w:val="019E0070"/>
    <w:rsid w:val="029806C9"/>
    <w:rsid w:val="034E6176"/>
    <w:rsid w:val="04425A7A"/>
    <w:rsid w:val="047121DB"/>
    <w:rsid w:val="04D643CF"/>
    <w:rsid w:val="06334DDB"/>
    <w:rsid w:val="06722168"/>
    <w:rsid w:val="0B0D5A5B"/>
    <w:rsid w:val="0B8C4461"/>
    <w:rsid w:val="0B966CE5"/>
    <w:rsid w:val="0BF14FCE"/>
    <w:rsid w:val="0C056389"/>
    <w:rsid w:val="0D2B7D71"/>
    <w:rsid w:val="0D353C76"/>
    <w:rsid w:val="0E583695"/>
    <w:rsid w:val="0F1E3DFF"/>
    <w:rsid w:val="0F4063C3"/>
    <w:rsid w:val="0F92175D"/>
    <w:rsid w:val="12147CCE"/>
    <w:rsid w:val="125F6AAD"/>
    <w:rsid w:val="13223BB5"/>
    <w:rsid w:val="13BA3DEE"/>
    <w:rsid w:val="13DA7FEC"/>
    <w:rsid w:val="15067470"/>
    <w:rsid w:val="15EE50FC"/>
    <w:rsid w:val="160B2849"/>
    <w:rsid w:val="16AF39B2"/>
    <w:rsid w:val="193F6186"/>
    <w:rsid w:val="1945127F"/>
    <w:rsid w:val="195B1BCF"/>
    <w:rsid w:val="1A39091D"/>
    <w:rsid w:val="1ACD5B19"/>
    <w:rsid w:val="1ADD403E"/>
    <w:rsid w:val="1C08782F"/>
    <w:rsid w:val="1E5B61CE"/>
    <w:rsid w:val="1EF12386"/>
    <w:rsid w:val="1F833C2E"/>
    <w:rsid w:val="1FF714A4"/>
    <w:rsid w:val="20196340"/>
    <w:rsid w:val="210E60E1"/>
    <w:rsid w:val="21691344"/>
    <w:rsid w:val="229F239F"/>
    <w:rsid w:val="232B5F8A"/>
    <w:rsid w:val="23832007"/>
    <w:rsid w:val="24311667"/>
    <w:rsid w:val="25592D3B"/>
    <w:rsid w:val="258B383C"/>
    <w:rsid w:val="25C86B2F"/>
    <w:rsid w:val="25D450D5"/>
    <w:rsid w:val="25E17E0E"/>
    <w:rsid w:val="269746AD"/>
    <w:rsid w:val="273F73A6"/>
    <w:rsid w:val="276155F6"/>
    <w:rsid w:val="27C51645"/>
    <w:rsid w:val="27CC705B"/>
    <w:rsid w:val="28352BB2"/>
    <w:rsid w:val="286F65EF"/>
    <w:rsid w:val="293B10D5"/>
    <w:rsid w:val="294A71FE"/>
    <w:rsid w:val="2A2F2F8A"/>
    <w:rsid w:val="2A4905FE"/>
    <w:rsid w:val="2A8A6639"/>
    <w:rsid w:val="2D063CBD"/>
    <w:rsid w:val="2DD10816"/>
    <w:rsid w:val="2ECA5DDA"/>
    <w:rsid w:val="2EFF6701"/>
    <w:rsid w:val="2F19389A"/>
    <w:rsid w:val="2F1F3334"/>
    <w:rsid w:val="2FB226DA"/>
    <w:rsid w:val="2FF53506"/>
    <w:rsid w:val="30D301A6"/>
    <w:rsid w:val="316450AF"/>
    <w:rsid w:val="324101D8"/>
    <w:rsid w:val="32584D11"/>
    <w:rsid w:val="328235FD"/>
    <w:rsid w:val="329E3950"/>
    <w:rsid w:val="339B4EF5"/>
    <w:rsid w:val="348B27C4"/>
    <w:rsid w:val="35E95679"/>
    <w:rsid w:val="37FEF3DB"/>
    <w:rsid w:val="388859B9"/>
    <w:rsid w:val="38927B0D"/>
    <w:rsid w:val="3931345A"/>
    <w:rsid w:val="39BE1D8D"/>
    <w:rsid w:val="3A7519D1"/>
    <w:rsid w:val="3B2C2EC3"/>
    <w:rsid w:val="3BED73C7"/>
    <w:rsid w:val="3C31087B"/>
    <w:rsid w:val="3C5D67E5"/>
    <w:rsid w:val="3D1633EB"/>
    <w:rsid w:val="3D3200FC"/>
    <w:rsid w:val="3D725F46"/>
    <w:rsid w:val="3E053899"/>
    <w:rsid w:val="3E850876"/>
    <w:rsid w:val="3F9E480F"/>
    <w:rsid w:val="3FA56E51"/>
    <w:rsid w:val="41276B18"/>
    <w:rsid w:val="423B380D"/>
    <w:rsid w:val="45FB1012"/>
    <w:rsid w:val="48311A5B"/>
    <w:rsid w:val="483B4349"/>
    <w:rsid w:val="48832DC5"/>
    <w:rsid w:val="48B53A88"/>
    <w:rsid w:val="48C8290B"/>
    <w:rsid w:val="48E337ED"/>
    <w:rsid w:val="499731FE"/>
    <w:rsid w:val="4A690AED"/>
    <w:rsid w:val="4C2A07CC"/>
    <w:rsid w:val="4C9702F9"/>
    <w:rsid w:val="4CF75903"/>
    <w:rsid w:val="4CF80F08"/>
    <w:rsid w:val="4FB5487F"/>
    <w:rsid w:val="509470BD"/>
    <w:rsid w:val="51DC7A31"/>
    <w:rsid w:val="52E832C4"/>
    <w:rsid w:val="52EC6E19"/>
    <w:rsid w:val="53171124"/>
    <w:rsid w:val="53276110"/>
    <w:rsid w:val="53A37E92"/>
    <w:rsid w:val="54D831CD"/>
    <w:rsid w:val="55005975"/>
    <w:rsid w:val="55DD6EED"/>
    <w:rsid w:val="563C6591"/>
    <w:rsid w:val="578749B4"/>
    <w:rsid w:val="58521B1F"/>
    <w:rsid w:val="58E52B4B"/>
    <w:rsid w:val="5AA820D0"/>
    <w:rsid w:val="5BC52CD0"/>
    <w:rsid w:val="5BDE4A61"/>
    <w:rsid w:val="5C5C22DE"/>
    <w:rsid w:val="5C846314"/>
    <w:rsid w:val="5D0E7F21"/>
    <w:rsid w:val="5DA026D7"/>
    <w:rsid w:val="5EAE30F6"/>
    <w:rsid w:val="5F914B50"/>
    <w:rsid w:val="5F937A23"/>
    <w:rsid w:val="604E3307"/>
    <w:rsid w:val="60E3082B"/>
    <w:rsid w:val="6146379E"/>
    <w:rsid w:val="61A301E4"/>
    <w:rsid w:val="624B693E"/>
    <w:rsid w:val="62A37788"/>
    <w:rsid w:val="635A1B7D"/>
    <w:rsid w:val="6386436E"/>
    <w:rsid w:val="63AD43D6"/>
    <w:rsid w:val="63BA5B37"/>
    <w:rsid w:val="646516BF"/>
    <w:rsid w:val="64B4350F"/>
    <w:rsid w:val="65529C68"/>
    <w:rsid w:val="66831EE1"/>
    <w:rsid w:val="66E1701E"/>
    <w:rsid w:val="672C1A82"/>
    <w:rsid w:val="67EA47CF"/>
    <w:rsid w:val="683F3884"/>
    <w:rsid w:val="6848233F"/>
    <w:rsid w:val="68DB026E"/>
    <w:rsid w:val="68E6689B"/>
    <w:rsid w:val="69C43F8B"/>
    <w:rsid w:val="6ACB15B2"/>
    <w:rsid w:val="6B092A7C"/>
    <w:rsid w:val="6C6036B1"/>
    <w:rsid w:val="6C69454C"/>
    <w:rsid w:val="6C9E4306"/>
    <w:rsid w:val="6D223C63"/>
    <w:rsid w:val="6D535020"/>
    <w:rsid w:val="6D9E344C"/>
    <w:rsid w:val="6DBA1BD9"/>
    <w:rsid w:val="6DC522E8"/>
    <w:rsid w:val="6DCA0276"/>
    <w:rsid w:val="6DEA0F50"/>
    <w:rsid w:val="6DFF777A"/>
    <w:rsid w:val="70690D09"/>
    <w:rsid w:val="708075AF"/>
    <w:rsid w:val="724A40E5"/>
    <w:rsid w:val="72E50EF8"/>
    <w:rsid w:val="73976469"/>
    <w:rsid w:val="74673305"/>
    <w:rsid w:val="746C198E"/>
    <w:rsid w:val="749E0382"/>
    <w:rsid w:val="75301DA6"/>
    <w:rsid w:val="75590031"/>
    <w:rsid w:val="76C54808"/>
    <w:rsid w:val="77AF396E"/>
    <w:rsid w:val="795B3A14"/>
    <w:rsid w:val="7A2F6015"/>
    <w:rsid w:val="7A971A0B"/>
    <w:rsid w:val="7AD4064B"/>
    <w:rsid w:val="7AD75FBE"/>
    <w:rsid w:val="7C051B86"/>
    <w:rsid w:val="7D3905FD"/>
    <w:rsid w:val="7DBD635B"/>
    <w:rsid w:val="7E05712B"/>
    <w:rsid w:val="7F2D681A"/>
    <w:rsid w:val="BEAF8FEF"/>
    <w:rsid w:val="F6DF8D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50"/>
    <w:qFormat/>
    <w:uiPriority w:val="0"/>
    <w:pPr>
      <w:jc w:val="left"/>
      <w:outlineLvl w:val="0"/>
    </w:pPr>
    <w:rPr>
      <w:rFonts w:hint="eastAsia" w:ascii="黑体" w:hAnsi="宋体" w:eastAsia="黑体" w:cs="Times New Roman"/>
      <w:b/>
      <w:kern w:val="0"/>
      <w:sz w:val="32"/>
      <w:szCs w:val="32"/>
    </w:rPr>
  </w:style>
  <w:style w:type="paragraph" w:styleId="3">
    <w:name w:val="heading 2"/>
    <w:basedOn w:val="1"/>
    <w:next w:val="1"/>
    <w:qFormat/>
    <w:uiPriority w:val="0"/>
    <w:pPr>
      <w:spacing w:before="260" w:after="260" w:line="415" w:lineRule="auto"/>
      <w:outlineLvl w:val="1"/>
    </w:pPr>
    <w:rPr>
      <w:rFonts w:ascii="Arial" w:hAnsi="Arial" w:eastAsia="黑体" w:cs="Arial"/>
      <w:b/>
      <w:bCs/>
      <w:sz w:val="32"/>
      <w:szCs w:val="32"/>
    </w:rPr>
  </w:style>
  <w:style w:type="paragraph" w:styleId="4">
    <w:name w:val="heading 3"/>
    <w:basedOn w:val="1"/>
    <w:next w:val="1"/>
    <w:qFormat/>
    <w:uiPriority w:val="0"/>
    <w:pPr>
      <w:keepNext/>
      <w:keepLines/>
      <w:spacing w:before="260" w:after="260" w:line="416" w:lineRule="auto"/>
      <w:jc w:val="center"/>
      <w:outlineLvl w:val="2"/>
    </w:pPr>
    <w:rPr>
      <w:rFonts w:ascii="宋体" w:hAnsi="Times New Roman" w:eastAsia="宋体" w:cs="Times New Roman"/>
      <w:b/>
      <w:bCs/>
      <w:sz w:val="32"/>
      <w:szCs w:val="32"/>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2520" w:leftChars="1200"/>
    </w:pPr>
    <w:rPr>
      <w:szCs w:val="22"/>
    </w:rPr>
  </w:style>
  <w:style w:type="paragraph" w:styleId="6">
    <w:name w:val="Normal Indent"/>
    <w:basedOn w:val="1"/>
    <w:qFormat/>
    <w:uiPriority w:val="0"/>
    <w:pPr>
      <w:ind w:firstLine="420"/>
      <w:jc w:val="left"/>
    </w:pPr>
    <w:rPr>
      <w:rFonts w:ascii="Calibri" w:hAnsi="Calibri" w:eastAsia="Calibri" w:cs="Times New Roman"/>
      <w:kern w:val="0"/>
      <w:sz w:val="20"/>
      <w:szCs w:val="20"/>
    </w:rPr>
  </w:style>
  <w:style w:type="paragraph" w:styleId="7">
    <w:name w:val="toa heading"/>
    <w:basedOn w:val="1"/>
    <w:next w:val="1"/>
    <w:qFormat/>
    <w:uiPriority w:val="0"/>
    <w:pPr>
      <w:spacing w:before="120"/>
    </w:pPr>
    <w:rPr>
      <w:rFonts w:ascii="Arial" w:hAnsi="Arial" w:eastAsia="宋体" w:cs="Times New Roman"/>
      <w:b/>
      <w:bCs/>
      <w:szCs w:val="24"/>
    </w:rPr>
  </w:style>
  <w:style w:type="paragraph" w:styleId="8">
    <w:name w:val="annotation text"/>
    <w:basedOn w:val="1"/>
    <w:semiHidden/>
    <w:qFormat/>
    <w:uiPriority w:val="0"/>
    <w:pPr>
      <w:jc w:val="left"/>
    </w:pPr>
  </w:style>
  <w:style w:type="paragraph" w:styleId="9">
    <w:name w:val="Body Text"/>
    <w:basedOn w:val="1"/>
    <w:next w:val="10"/>
    <w:qFormat/>
    <w:uiPriority w:val="0"/>
    <w:pPr>
      <w:spacing w:after="120"/>
      <w:jc w:val="left"/>
    </w:pPr>
    <w:rPr>
      <w:rFonts w:ascii="Calibri" w:hAnsi="Calibri" w:eastAsia="Calibri" w:cs="Times New Roman"/>
      <w:kern w:val="0"/>
      <w:sz w:val="22"/>
      <w:szCs w:val="22"/>
    </w:rPr>
  </w:style>
  <w:style w:type="paragraph" w:styleId="10">
    <w:name w:val="toc 2"/>
    <w:basedOn w:val="1"/>
    <w:next w:val="1"/>
    <w:qFormat/>
    <w:uiPriority w:val="39"/>
    <w:pPr>
      <w:ind w:left="210"/>
      <w:jc w:val="left"/>
    </w:pPr>
    <w:rPr>
      <w:smallCaps/>
      <w:sz w:val="28"/>
    </w:rPr>
  </w:style>
  <w:style w:type="paragraph" w:styleId="11">
    <w:name w:val="Body Text Indent"/>
    <w:basedOn w:val="1"/>
    <w:next w:val="12"/>
    <w:qFormat/>
    <w:uiPriority w:val="0"/>
    <w:pPr>
      <w:spacing w:after="120"/>
      <w:ind w:left="420" w:leftChars="200"/>
    </w:pPr>
  </w:style>
  <w:style w:type="paragraph" w:styleId="12">
    <w:name w:val="envelope return"/>
    <w:basedOn w:val="1"/>
    <w:next w:val="11"/>
    <w:qFormat/>
    <w:uiPriority w:val="0"/>
    <w:pPr>
      <w:snapToGrid w:val="0"/>
    </w:pPr>
    <w:rPr>
      <w:rFonts w:ascii="Arial" w:hAnsi="Arial"/>
    </w:rPr>
  </w:style>
  <w:style w:type="paragraph" w:styleId="13">
    <w:name w:val="List 2"/>
    <w:basedOn w:val="1"/>
    <w:qFormat/>
    <w:uiPriority w:val="0"/>
    <w:pPr>
      <w:ind w:left="100" w:leftChars="200" w:hanging="200" w:hangingChars="200"/>
      <w:jc w:val="left"/>
    </w:pPr>
    <w:rPr>
      <w:rFonts w:ascii="Times New Roman" w:hAnsi="Times New Roman" w:eastAsia="Calibri" w:cs="Times New Roman"/>
      <w:kern w:val="0"/>
      <w:sz w:val="22"/>
    </w:rPr>
  </w:style>
  <w:style w:type="paragraph" w:styleId="14">
    <w:name w:val="toc 5"/>
    <w:basedOn w:val="1"/>
    <w:next w:val="1"/>
    <w:unhideWhenUsed/>
    <w:qFormat/>
    <w:uiPriority w:val="39"/>
    <w:pPr>
      <w:ind w:left="1680" w:leftChars="800"/>
    </w:pPr>
    <w:rPr>
      <w:szCs w:val="22"/>
    </w:rPr>
  </w:style>
  <w:style w:type="paragraph" w:styleId="15">
    <w:name w:val="toc 3"/>
    <w:basedOn w:val="1"/>
    <w:next w:val="1"/>
    <w:unhideWhenUsed/>
    <w:qFormat/>
    <w:uiPriority w:val="39"/>
    <w:pPr>
      <w:ind w:left="840" w:leftChars="400"/>
    </w:pPr>
    <w:rPr>
      <w:szCs w:val="22"/>
    </w:rPr>
  </w:style>
  <w:style w:type="paragraph" w:styleId="16">
    <w:name w:val="Plain Text"/>
    <w:basedOn w:val="1"/>
    <w:qFormat/>
    <w:uiPriority w:val="0"/>
    <w:rPr>
      <w:rFonts w:ascii="宋体" w:hAnsi="Courier New"/>
    </w:rPr>
  </w:style>
  <w:style w:type="paragraph" w:styleId="17">
    <w:name w:val="toc 8"/>
    <w:basedOn w:val="1"/>
    <w:next w:val="1"/>
    <w:unhideWhenUsed/>
    <w:qFormat/>
    <w:uiPriority w:val="39"/>
    <w:pPr>
      <w:ind w:left="2940" w:leftChars="1400"/>
    </w:pPr>
    <w:rPr>
      <w:szCs w:val="22"/>
    </w:rPr>
  </w:style>
  <w:style w:type="paragraph" w:styleId="18">
    <w:name w:val="Balloon Text"/>
    <w:basedOn w:val="1"/>
    <w:link w:val="70"/>
    <w:qFormat/>
    <w:uiPriority w:val="0"/>
    <w:rPr>
      <w:sz w:val="18"/>
      <w:szCs w:val="18"/>
    </w:rPr>
  </w:style>
  <w:style w:type="paragraph" w:styleId="19">
    <w:name w:val="footer"/>
    <w:basedOn w:val="1"/>
    <w:link w:val="71"/>
    <w:qFormat/>
    <w:uiPriority w:val="99"/>
    <w:pPr>
      <w:tabs>
        <w:tab w:val="center" w:pos="4153"/>
        <w:tab w:val="right" w:pos="8306"/>
      </w:tabs>
      <w:snapToGrid w:val="0"/>
      <w:jc w:val="left"/>
    </w:pPr>
    <w:rPr>
      <w:sz w:val="18"/>
    </w:rPr>
  </w:style>
  <w:style w:type="paragraph" w:styleId="20">
    <w:name w:val="header"/>
    <w:basedOn w:val="1"/>
    <w:next w:val="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1">
    <w:name w:val="toc 1"/>
    <w:basedOn w:val="1"/>
    <w:next w:val="1"/>
    <w:qFormat/>
    <w:uiPriority w:val="39"/>
    <w:pPr>
      <w:spacing w:before="116"/>
      <w:ind w:left="18"/>
      <w:jc w:val="left"/>
    </w:pPr>
    <w:rPr>
      <w:rFonts w:hint="eastAsia" w:ascii="宋体" w:hAnsi="宋体" w:eastAsia="宋体" w:cs="Times New Roman"/>
      <w:kern w:val="0"/>
      <w:sz w:val="28"/>
      <w:szCs w:val="28"/>
    </w:rPr>
  </w:style>
  <w:style w:type="paragraph" w:styleId="22">
    <w:name w:val="toc 4"/>
    <w:basedOn w:val="1"/>
    <w:next w:val="1"/>
    <w:unhideWhenUsed/>
    <w:qFormat/>
    <w:uiPriority w:val="39"/>
    <w:pPr>
      <w:ind w:left="1260" w:leftChars="600"/>
    </w:pPr>
    <w:rPr>
      <w:szCs w:val="22"/>
    </w:rPr>
  </w:style>
  <w:style w:type="paragraph" w:styleId="23">
    <w:name w:val="Subtitle"/>
    <w:basedOn w:val="1"/>
    <w:next w:val="1"/>
    <w:qFormat/>
    <w:uiPriority w:val="99"/>
    <w:pPr>
      <w:spacing w:before="240" w:after="60" w:line="312" w:lineRule="auto"/>
      <w:jc w:val="center"/>
      <w:outlineLvl w:val="1"/>
    </w:pPr>
    <w:rPr>
      <w:rFonts w:ascii="Calibri Light" w:hAnsi="Calibri Light" w:cs="Times New Roman"/>
      <w:b/>
      <w:bCs/>
      <w:kern w:val="28"/>
      <w:sz w:val="32"/>
      <w:szCs w:val="32"/>
    </w:rPr>
  </w:style>
  <w:style w:type="paragraph" w:styleId="24">
    <w:name w:val="List"/>
    <w:basedOn w:val="1"/>
    <w:next w:val="1"/>
    <w:qFormat/>
    <w:uiPriority w:val="0"/>
    <w:pPr>
      <w:ind w:left="200" w:hanging="200" w:hangingChars="200"/>
    </w:pPr>
  </w:style>
  <w:style w:type="paragraph" w:styleId="25">
    <w:name w:val="toc 6"/>
    <w:basedOn w:val="1"/>
    <w:next w:val="1"/>
    <w:unhideWhenUsed/>
    <w:qFormat/>
    <w:uiPriority w:val="39"/>
    <w:pPr>
      <w:ind w:left="2100" w:leftChars="1000"/>
    </w:pPr>
    <w:rPr>
      <w:szCs w:val="22"/>
    </w:rPr>
  </w:style>
  <w:style w:type="paragraph" w:styleId="26">
    <w:name w:val="toc 9"/>
    <w:basedOn w:val="1"/>
    <w:next w:val="1"/>
    <w:unhideWhenUsed/>
    <w:qFormat/>
    <w:uiPriority w:val="39"/>
    <w:pPr>
      <w:ind w:left="3360" w:leftChars="1600"/>
    </w:pPr>
    <w:rPr>
      <w:szCs w:val="22"/>
    </w:rPr>
  </w:style>
  <w:style w:type="paragraph" w:styleId="27">
    <w:name w:val="Normal (Web)"/>
    <w:basedOn w:val="1"/>
    <w:qFormat/>
    <w:uiPriority w:val="0"/>
    <w:pPr>
      <w:spacing w:beforeAutospacing="1" w:afterAutospacing="1"/>
      <w:jc w:val="left"/>
    </w:pPr>
    <w:rPr>
      <w:rFonts w:ascii="Arial Unicode MS" w:hAnsi="Arial Unicode MS" w:eastAsia="Calibri" w:cs="Times New Roman"/>
      <w:kern w:val="0"/>
      <w:sz w:val="24"/>
      <w:szCs w:val="22"/>
    </w:rPr>
  </w:style>
  <w:style w:type="paragraph" w:styleId="28">
    <w:name w:val="Body Text First Indent"/>
    <w:basedOn w:val="9"/>
    <w:next w:val="1"/>
    <w:qFormat/>
    <w:uiPriority w:val="0"/>
    <w:pPr>
      <w:autoSpaceDE w:val="0"/>
      <w:autoSpaceDN w:val="0"/>
      <w:adjustRightInd w:val="0"/>
      <w:spacing w:before="154" w:after="0" w:line="360" w:lineRule="auto"/>
      <w:ind w:left="102" w:right="-24" w:rightChars="-10" w:firstLine="425" w:firstLineChars="225"/>
    </w:pPr>
    <w:rPr>
      <w:rFonts w:ascii="Arial" w:hAnsi="Arial" w:eastAsia="仿宋_GB2312"/>
      <w:sz w:val="24"/>
      <w:szCs w:val="32"/>
    </w:rPr>
  </w:style>
  <w:style w:type="paragraph" w:styleId="29">
    <w:name w:val="Body Text First Indent 2"/>
    <w:basedOn w:val="11"/>
    <w:next w:val="28"/>
    <w:link w:val="72"/>
    <w:qFormat/>
    <w:uiPriority w:val="0"/>
    <w:pPr>
      <w:ind w:firstLine="420" w:firstLineChars="200"/>
      <w:jc w:val="left"/>
    </w:pPr>
    <w:rPr>
      <w:rFonts w:ascii="Calibri" w:hAnsi="Calibri" w:eastAsia="Calibri" w:cs="Times New Roman"/>
      <w:kern w:val="0"/>
      <w:sz w:val="22"/>
      <w:szCs w:val="22"/>
    </w:rPr>
  </w:style>
  <w:style w:type="table" w:styleId="31">
    <w:name w:val="Table Grid"/>
    <w:basedOn w:val="30"/>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0"/>
  </w:style>
  <w:style w:type="character" w:styleId="34">
    <w:name w:val="FollowedHyperlink"/>
    <w:basedOn w:val="32"/>
    <w:qFormat/>
    <w:uiPriority w:val="0"/>
    <w:rPr>
      <w:color w:val="800080"/>
      <w:u w:val="none"/>
    </w:rPr>
  </w:style>
  <w:style w:type="character" w:styleId="35">
    <w:name w:val="Emphasis"/>
    <w:basedOn w:val="32"/>
    <w:qFormat/>
    <w:uiPriority w:val="0"/>
  </w:style>
  <w:style w:type="character" w:styleId="36">
    <w:name w:val="HTML Definition"/>
    <w:basedOn w:val="32"/>
    <w:qFormat/>
    <w:uiPriority w:val="0"/>
  </w:style>
  <w:style w:type="character" w:styleId="37">
    <w:name w:val="HTML Typewriter"/>
    <w:basedOn w:val="32"/>
    <w:qFormat/>
    <w:uiPriority w:val="0"/>
    <w:rPr>
      <w:rFonts w:ascii="monospace" w:hAnsi="monospace" w:eastAsia="monospace" w:cs="monospace"/>
      <w:sz w:val="20"/>
    </w:rPr>
  </w:style>
  <w:style w:type="character" w:styleId="38">
    <w:name w:val="HTML Acronym"/>
    <w:basedOn w:val="32"/>
    <w:qFormat/>
    <w:uiPriority w:val="0"/>
  </w:style>
  <w:style w:type="character" w:styleId="39">
    <w:name w:val="HTML Variable"/>
    <w:basedOn w:val="32"/>
    <w:qFormat/>
    <w:uiPriority w:val="0"/>
  </w:style>
  <w:style w:type="character" w:styleId="40">
    <w:name w:val="Hyperlink"/>
    <w:basedOn w:val="32"/>
    <w:qFormat/>
    <w:uiPriority w:val="99"/>
    <w:rPr>
      <w:color w:val="333333"/>
      <w:u w:val="none"/>
    </w:rPr>
  </w:style>
  <w:style w:type="character" w:styleId="41">
    <w:name w:val="HTML Code"/>
    <w:basedOn w:val="32"/>
    <w:qFormat/>
    <w:uiPriority w:val="0"/>
    <w:rPr>
      <w:rFonts w:hint="default" w:ascii="monospace" w:hAnsi="monospace" w:eastAsia="monospace" w:cs="monospace"/>
      <w:sz w:val="20"/>
    </w:rPr>
  </w:style>
  <w:style w:type="character" w:styleId="42">
    <w:name w:val="HTML Cite"/>
    <w:basedOn w:val="32"/>
    <w:qFormat/>
    <w:uiPriority w:val="0"/>
  </w:style>
  <w:style w:type="character" w:styleId="43">
    <w:name w:val="HTML Keyboard"/>
    <w:basedOn w:val="32"/>
    <w:qFormat/>
    <w:uiPriority w:val="0"/>
    <w:rPr>
      <w:rFonts w:hint="default" w:ascii="monospace" w:hAnsi="monospace" w:eastAsia="monospace" w:cs="monospace"/>
      <w:sz w:val="20"/>
    </w:rPr>
  </w:style>
  <w:style w:type="character" w:styleId="44">
    <w:name w:val="HTML Sample"/>
    <w:basedOn w:val="32"/>
    <w:qFormat/>
    <w:uiPriority w:val="0"/>
    <w:rPr>
      <w:rFonts w:hint="default" w:ascii="monospace" w:hAnsi="monospace" w:eastAsia="monospace" w:cs="monospace"/>
    </w:rPr>
  </w:style>
  <w:style w:type="paragraph" w:customStyle="1" w:styleId="45">
    <w:name w:val="正文-公1"/>
    <w:basedOn w:val="1"/>
    <w:next w:val="1"/>
    <w:qFormat/>
    <w:uiPriority w:val="0"/>
    <w:pPr>
      <w:ind w:firstLine="200" w:firstLineChars="200"/>
      <w:jc w:val="left"/>
    </w:pPr>
    <w:rPr>
      <w:rFonts w:eastAsia="仿宋_GB2312"/>
    </w:rPr>
  </w:style>
  <w:style w:type="paragraph" w:customStyle="1" w:styleId="46">
    <w:name w:val="正文_0"/>
    <w:next w:val="1"/>
    <w:qFormat/>
    <w:uiPriority w:val="0"/>
    <w:pPr>
      <w:widowControl w:val="0"/>
      <w:jc w:val="left"/>
    </w:pPr>
    <w:rPr>
      <w:rFonts w:ascii="Times New Roman" w:hAnsi="Times New Roman" w:eastAsia="宋体" w:cs="Times New Roman"/>
      <w:b/>
      <w:kern w:val="2"/>
      <w:sz w:val="24"/>
      <w:lang w:val="en-US" w:eastAsia="zh-CN" w:bidi="ar-SA"/>
    </w:rPr>
  </w:style>
  <w:style w:type="paragraph" w:customStyle="1" w:styleId="47">
    <w:name w:val="xl53"/>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Cs/>
      <w:sz w:val="20"/>
    </w:rPr>
  </w:style>
  <w:style w:type="paragraph" w:customStyle="1" w:styleId="48">
    <w:name w:val="BodyText"/>
    <w:basedOn w:val="1"/>
    <w:qFormat/>
    <w:uiPriority w:val="0"/>
    <w:pPr>
      <w:spacing w:after="120"/>
      <w:jc w:val="left"/>
      <w:textAlignment w:val="baseline"/>
    </w:pPr>
    <w:rPr>
      <w:rFonts w:ascii="Calibri" w:hAnsi="Calibri"/>
      <w:kern w:val="0"/>
      <w:sz w:val="22"/>
      <w:szCs w:val="22"/>
    </w:rPr>
  </w:style>
  <w:style w:type="character" w:customStyle="1" w:styleId="49">
    <w:name w:val="UserStyle_10"/>
    <w:qFormat/>
    <w:uiPriority w:val="0"/>
    <w:rPr>
      <w:rFonts w:asciiTheme="minorHAnsi" w:hAnsiTheme="minorHAnsi" w:eastAsiaTheme="minorEastAsia" w:cstheme="minorBidi"/>
      <w:kern w:val="2"/>
      <w:sz w:val="21"/>
      <w:szCs w:val="24"/>
      <w:lang w:val="en-US" w:eastAsia="zh-CN" w:bidi="ar-SA"/>
    </w:rPr>
  </w:style>
  <w:style w:type="character" w:customStyle="1" w:styleId="50">
    <w:name w:val="标题 1 Char"/>
    <w:link w:val="2"/>
    <w:qFormat/>
    <w:uiPriority w:val="0"/>
    <w:rPr>
      <w:rFonts w:hint="eastAsia" w:ascii="黑体" w:hAnsi="宋体" w:eastAsia="黑体" w:cs="Times New Roman"/>
      <w:b/>
      <w:kern w:val="0"/>
      <w:sz w:val="32"/>
      <w:szCs w:val="32"/>
    </w:rPr>
  </w:style>
  <w:style w:type="paragraph" w:customStyle="1" w:styleId="51">
    <w:name w:val="段落"/>
    <w:qFormat/>
    <w:uiPriority w:val="0"/>
    <w:pPr>
      <w:adjustRightInd w:val="0"/>
      <w:snapToGrid w:val="0"/>
      <w:spacing w:before="120" w:after="120" w:line="360" w:lineRule="auto"/>
      <w:ind w:firstLine="425" w:firstLineChars="177"/>
    </w:pPr>
    <w:rPr>
      <w:rFonts w:ascii="宋体" w:hAnsi="宋体" w:eastAsia="宋体" w:cs="Times New Roman"/>
      <w:kern w:val="2"/>
      <w:sz w:val="24"/>
      <w:szCs w:val="24"/>
      <w:lang w:val="en-US" w:eastAsia="zh-CN" w:bidi="ar-SA"/>
    </w:rPr>
  </w:style>
  <w:style w:type="character" w:customStyle="1" w:styleId="52">
    <w:name w:val="NormalCharacter"/>
    <w:semiHidden/>
    <w:qFormat/>
    <w:uiPriority w:val="0"/>
    <w:rPr>
      <w:rFonts w:asciiTheme="minorHAnsi" w:hAnsiTheme="minorHAnsi" w:eastAsiaTheme="minorEastAsia" w:cstheme="minorBidi"/>
      <w:kern w:val="2"/>
      <w:sz w:val="21"/>
      <w:szCs w:val="24"/>
      <w:lang w:val="en-US" w:eastAsia="zh-CN" w:bidi="ar-SA"/>
    </w:rPr>
  </w:style>
  <w:style w:type="paragraph" w:customStyle="1" w:styleId="53">
    <w:name w:val="HtmlNormal"/>
    <w:basedOn w:val="1"/>
    <w:qFormat/>
    <w:uiPriority w:val="0"/>
    <w:pPr>
      <w:spacing w:before="100" w:beforeAutospacing="1" w:after="100" w:afterAutospacing="1"/>
      <w:jc w:val="left"/>
      <w:textAlignment w:val="baseline"/>
    </w:pPr>
    <w:rPr>
      <w:rFonts w:ascii="宋体" w:hAnsi="宋体"/>
      <w:kern w:val="0"/>
      <w:sz w:val="24"/>
    </w:rPr>
  </w:style>
  <w:style w:type="paragraph" w:customStyle="1" w:styleId="54">
    <w:name w:val="xl31"/>
    <w:basedOn w:val="1"/>
    <w:qFormat/>
    <w:uiPriority w:val="0"/>
    <w:pPr>
      <w:spacing w:before="100" w:beforeAutospacing="1" w:after="100" w:afterAutospacing="1"/>
      <w:jc w:val="center"/>
    </w:pPr>
    <w:rPr>
      <w:b/>
      <w:bCs/>
      <w:kern w:val="0"/>
      <w:sz w:val="28"/>
      <w:szCs w:val="28"/>
    </w:rPr>
  </w:style>
  <w:style w:type="character" w:customStyle="1" w:styleId="55">
    <w:name w:val="UserStyle_0"/>
    <w:link w:val="56"/>
    <w:qFormat/>
    <w:uiPriority w:val="0"/>
    <w:rPr>
      <w:rFonts w:ascii="Times New Roman" w:hAnsi="Times New Roman" w:cs="Calibri"/>
      <w:b/>
      <w:bCs/>
      <w:kern w:val="44"/>
      <w:sz w:val="30"/>
      <w:szCs w:val="30"/>
      <w:lang w:val="en-US" w:eastAsia="zh-CN" w:bidi="ar-SA"/>
    </w:rPr>
  </w:style>
  <w:style w:type="paragraph" w:customStyle="1" w:styleId="56">
    <w:name w:val="Heading1"/>
    <w:basedOn w:val="1"/>
    <w:next w:val="1"/>
    <w:link w:val="55"/>
    <w:qFormat/>
    <w:uiPriority w:val="0"/>
    <w:pPr>
      <w:jc w:val="left"/>
      <w:textAlignment w:val="baseline"/>
    </w:pPr>
    <w:rPr>
      <w:rFonts w:ascii="Times New Roman" w:hAnsi="Times New Roman" w:cs="Calibri"/>
      <w:b/>
      <w:bCs/>
      <w:kern w:val="44"/>
      <w:sz w:val="30"/>
      <w:szCs w:val="30"/>
    </w:rPr>
  </w:style>
  <w:style w:type="paragraph" w:customStyle="1" w:styleId="57">
    <w:name w:val="Table Paragraph"/>
    <w:basedOn w:val="58"/>
    <w:qFormat/>
    <w:uiPriority w:val="0"/>
    <w:pPr>
      <w:jc w:val="left"/>
    </w:pPr>
    <w:rPr>
      <w:rFonts w:ascii="Calibri" w:hAnsi="Calibri" w:eastAsia="Calibri" w:cs="Times New Roman"/>
      <w:kern w:val="0"/>
      <w:sz w:val="22"/>
      <w:szCs w:val="22"/>
    </w:rPr>
  </w:style>
  <w:style w:type="paragraph" w:customStyle="1" w:styleId="58">
    <w:name w:val="正文1"/>
    <w:next w:val="59"/>
    <w:qFormat/>
    <w:uiPriority w:val="0"/>
    <w:pPr>
      <w:widowControl w:val="0"/>
      <w:jc w:val="both"/>
    </w:pPr>
    <w:rPr>
      <w:rFonts w:ascii="Calibri" w:hAnsi="Calibri" w:eastAsia="宋体" w:cs="Times New Roman"/>
      <w:kern w:val="2"/>
      <w:sz w:val="21"/>
      <w:szCs w:val="24"/>
      <w:lang w:val="en-US" w:eastAsia="zh-CN" w:bidi="ar-SA"/>
    </w:rPr>
  </w:style>
  <w:style w:type="paragraph" w:customStyle="1" w:styleId="59">
    <w:name w:val="正文文本1"/>
    <w:basedOn w:val="58"/>
    <w:qFormat/>
    <w:uiPriority w:val="0"/>
    <w:pPr>
      <w:spacing w:before="0" w:beforeAutospacing="0" w:after="120" w:afterAutospacing="0"/>
      <w:jc w:val="left"/>
    </w:pPr>
    <w:rPr>
      <w:rFonts w:ascii="Calibri" w:hAnsi="Calibri" w:eastAsia="Calibri" w:cs="Times New Roman"/>
      <w:kern w:val="0"/>
      <w:sz w:val="22"/>
      <w:szCs w:val="22"/>
    </w:rPr>
  </w:style>
  <w:style w:type="paragraph" w:customStyle="1" w:styleId="60">
    <w:name w:val="正文_1"/>
    <w:basedOn w:val="1"/>
    <w:qFormat/>
    <w:uiPriority w:val="0"/>
    <w:rPr>
      <w:rFonts w:ascii="Times New Roman" w:hAnsi="Times New Roman" w:eastAsia="宋体" w:cs="Times New Roman"/>
      <w:szCs w:val="20"/>
    </w:rPr>
  </w:style>
  <w:style w:type="paragraph" w:customStyle="1" w:styleId="61">
    <w:name w:val="UserStyle_18"/>
    <w:basedOn w:val="1"/>
    <w:qFormat/>
    <w:uiPriority w:val="0"/>
    <w:pPr>
      <w:textAlignment w:val="baseline"/>
    </w:pPr>
    <w:rPr>
      <w:rFonts w:ascii="Times New Roman" w:hAnsi="Times New Roman"/>
      <w:szCs w:val="21"/>
    </w:rPr>
  </w:style>
  <w:style w:type="paragraph" w:customStyle="1" w:styleId="62">
    <w:name w:val="BodyText1I"/>
    <w:basedOn w:val="48"/>
    <w:qFormat/>
    <w:uiPriority w:val="0"/>
    <w:pPr>
      <w:spacing w:before="154" w:after="0" w:line="360" w:lineRule="auto"/>
      <w:ind w:left="102" w:right="-10" w:rightChars="-10" w:firstLine="425" w:firstLineChars="225"/>
    </w:pPr>
    <w:rPr>
      <w:rFonts w:ascii="Arial" w:hAnsi="Arial" w:eastAsia="仿宋_GB2312"/>
      <w:sz w:val="24"/>
      <w:szCs w:val="24"/>
    </w:rPr>
  </w:style>
  <w:style w:type="paragraph" w:customStyle="1" w:styleId="63">
    <w:name w:val="_Style 3"/>
    <w:basedOn w:val="1"/>
    <w:qFormat/>
    <w:uiPriority w:val="0"/>
    <w:pPr>
      <w:pBdr>
        <w:bottom w:val="single" w:color="auto" w:sz="6" w:space="1"/>
      </w:pBdr>
      <w:jc w:val="center"/>
    </w:pPr>
    <w:rPr>
      <w:rFonts w:ascii="Arial" w:hAnsi="Calibri" w:eastAsia="宋体" w:cs="Times New Roman"/>
      <w:vanish/>
      <w:kern w:val="0"/>
      <w:sz w:val="16"/>
      <w:szCs w:val="22"/>
    </w:rPr>
  </w:style>
  <w:style w:type="paragraph" w:customStyle="1" w:styleId="64">
    <w:name w:val="Body Text First Indent1"/>
    <w:basedOn w:val="9"/>
    <w:qFormat/>
    <w:uiPriority w:val="0"/>
    <w:pPr>
      <w:autoSpaceDE w:val="0"/>
      <w:autoSpaceDN w:val="0"/>
      <w:adjustRightInd w:val="0"/>
      <w:spacing w:line="360" w:lineRule="auto"/>
      <w:ind w:right="-24" w:rightChars="-10" w:firstLine="425" w:firstLineChars="225"/>
    </w:pPr>
    <w:rPr>
      <w:rFonts w:ascii="Arial" w:eastAsia="仿宋_GB2312" w:cs="Arial"/>
      <w:sz w:val="24"/>
      <w:szCs w:val="32"/>
    </w:rPr>
  </w:style>
  <w:style w:type="character" w:customStyle="1" w:styleId="65">
    <w:name w:val="first-child1"/>
    <w:basedOn w:val="32"/>
    <w:qFormat/>
    <w:uiPriority w:val="0"/>
  </w:style>
  <w:style w:type="character" w:customStyle="1" w:styleId="66">
    <w:name w:val="first-child2"/>
    <w:basedOn w:val="32"/>
    <w:qFormat/>
    <w:uiPriority w:val="0"/>
  </w:style>
  <w:style w:type="character" w:customStyle="1" w:styleId="67">
    <w:name w:val="layui-layer-tabnow"/>
    <w:basedOn w:val="32"/>
    <w:qFormat/>
    <w:uiPriority w:val="0"/>
    <w:rPr>
      <w:bdr w:val="single" w:color="CCCCCC" w:sz="6" w:space="0"/>
      <w:shd w:val="clear" w:color="auto" w:fill="FFFFFF"/>
    </w:rPr>
  </w:style>
  <w:style w:type="paragraph" w:customStyle="1" w:styleId="68">
    <w:name w:val="UserStyle_24"/>
    <w:basedOn w:val="1"/>
    <w:qFormat/>
    <w:uiPriority w:val="0"/>
    <w:pPr>
      <w:widowControl/>
      <w:spacing w:before="100" w:beforeAutospacing="1" w:after="100" w:afterAutospacing="1"/>
      <w:jc w:val="center"/>
      <w:textAlignment w:val="baseline"/>
    </w:pPr>
    <w:rPr>
      <w:rFonts w:ascii="Calibri" w:hAnsi="Calibri" w:cs="Calibri"/>
      <w:b/>
      <w:bCs/>
      <w:kern w:val="0"/>
      <w:sz w:val="28"/>
      <w:szCs w:val="28"/>
    </w:rPr>
  </w:style>
  <w:style w:type="paragraph" w:customStyle="1" w:styleId="69">
    <w:name w:val="TOC Heading"/>
    <w:basedOn w:val="2"/>
    <w:next w:val="1"/>
    <w:semiHidden/>
    <w:unhideWhenUsed/>
    <w:qFormat/>
    <w:uiPriority w:val="39"/>
    <w:pPr>
      <w:keepNext/>
      <w:keepLines/>
      <w:widowControl/>
      <w:spacing w:before="480" w:line="276" w:lineRule="auto"/>
      <w:outlineLvl w:val="9"/>
    </w:pPr>
    <w:rPr>
      <w:rFonts w:hint="default" w:asciiTheme="majorHAnsi" w:hAnsiTheme="majorHAnsi" w:eastAsiaTheme="majorEastAsia" w:cstheme="majorBidi"/>
      <w:bCs/>
      <w:color w:val="2E75B6" w:themeColor="accent1" w:themeShade="BF"/>
      <w:sz w:val="28"/>
      <w:szCs w:val="28"/>
    </w:rPr>
  </w:style>
  <w:style w:type="character" w:customStyle="1" w:styleId="70">
    <w:name w:val="批注框文本 Char"/>
    <w:basedOn w:val="32"/>
    <w:link w:val="18"/>
    <w:qFormat/>
    <w:uiPriority w:val="0"/>
    <w:rPr>
      <w:rFonts w:asciiTheme="minorHAnsi" w:hAnsiTheme="minorHAnsi" w:eastAsiaTheme="minorEastAsia" w:cstheme="minorBidi"/>
      <w:kern w:val="2"/>
      <w:sz w:val="18"/>
      <w:szCs w:val="18"/>
    </w:rPr>
  </w:style>
  <w:style w:type="character" w:customStyle="1" w:styleId="71">
    <w:name w:val="页脚 Char"/>
    <w:basedOn w:val="32"/>
    <w:link w:val="19"/>
    <w:qFormat/>
    <w:uiPriority w:val="99"/>
    <w:rPr>
      <w:rFonts w:asciiTheme="minorHAnsi" w:hAnsiTheme="minorHAnsi" w:eastAsiaTheme="minorEastAsia" w:cstheme="minorBidi"/>
      <w:kern w:val="2"/>
      <w:sz w:val="18"/>
      <w:szCs w:val="24"/>
    </w:rPr>
  </w:style>
  <w:style w:type="character" w:customStyle="1" w:styleId="72">
    <w:name w:val="正文首行缩进 2 Char"/>
    <w:basedOn w:val="32"/>
    <w:link w:val="29"/>
    <w:qFormat/>
    <w:uiPriority w:val="0"/>
    <w:rPr>
      <w:rFonts w:ascii="Calibri" w:hAnsi="Calibri" w:eastAsia="Calibri"/>
      <w:sz w:val="22"/>
      <w:szCs w:val="22"/>
    </w:rPr>
  </w:style>
  <w:style w:type="character" w:customStyle="1" w:styleId="73">
    <w:name w:val="first-child"/>
    <w:basedOn w:val="32"/>
    <w:qFormat/>
    <w:uiPriority w:val="0"/>
  </w:style>
  <w:style w:type="character" w:customStyle="1" w:styleId="74">
    <w:name w:val="first-child3"/>
    <w:basedOn w:val="32"/>
    <w:qFormat/>
    <w:uiPriority w:val="0"/>
  </w:style>
  <w:style w:type="paragraph" w:customStyle="1" w:styleId="75">
    <w:name w:val="正文文本 New New"/>
    <w:basedOn w:val="1"/>
    <w:qFormat/>
    <w:uiPriority w:val="0"/>
    <w:pPr>
      <w:autoSpaceDE w:val="0"/>
      <w:autoSpaceDN w:val="0"/>
      <w:adjustRightInd w:val="0"/>
      <w:spacing w:line="360" w:lineRule="auto"/>
    </w:pPr>
    <w:rPr>
      <w:rFonts w:ascii="宋体"/>
      <w:color w:val="000000"/>
      <w:sz w:val="24"/>
    </w:rPr>
  </w:style>
  <w:style w:type="paragraph" w:customStyle="1" w:styleId="76">
    <w:name w:val="样式 正文首行缩进 2 + 首行缩进:  2 字符"/>
    <w:basedOn w:val="1"/>
    <w:next w:val="3"/>
    <w:qFormat/>
    <w:uiPriority w:val="0"/>
    <w:pPr>
      <w:ind w:firstLine="480"/>
    </w:pPr>
    <w:rPr>
      <w:rFonts w:ascii="Times New Roman" w:hAnsi="Times New Roman" w:eastAsia="宋体"/>
      <w:szCs w:val="21"/>
    </w:rPr>
  </w:style>
  <w:style w:type="paragraph" w:customStyle="1" w:styleId="77">
    <w:name w:val="D&amp;L"/>
    <w:basedOn w:val="20"/>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78">
    <w:name w:val="Heading 7"/>
    <w:basedOn w:val="1"/>
    <w:qFormat/>
    <w:uiPriority w:val="0"/>
    <w:pPr>
      <w:ind w:left="1763"/>
      <w:outlineLvl w:val="7"/>
    </w:pPr>
    <w:rPr>
      <w:rFonts w:ascii="Times New Roman" w:hAnsi="Times New Roman" w:eastAsia="宋体" w:cs="Times New Roman"/>
      <w:b/>
      <w:bCs/>
      <w:sz w:val="21"/>
      <w:szCs w:val="21"/>
    </w:rPr>
  </w:style>
  <w:style w:type="paragraph" w:customStyle="1" w:styleId="79">
    <w:name w:val="Table Text"/>
    <w:basedOn w:val="1"/>
    <w:qFormat/>
    <w:uiPriority w:val="0"/>
    <w:rPr>
      <w:rFonts w:ascii="仿宋" w:eastAsia="仿宋" w:cs="仿宋"/>
      <w:sz w:val="28"/>
      <w:szCs w:val="28"/>
      <w:lang w:eastAsia="en-US"/>
    </w:rPr>
  </w:style>
  <w:style w:type="table" w:customStyle="1" w:styleId="80">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home\uos\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cz</Company>
  <Pages>45</Pages>
  <Words>23293</Words>
  <Characters>24319</Characters>
  <Lines>256</Lines>
  <Paragraphs>72</Paragraphs>
  <TotalTime>0</TotalTime>
  <ScaleCrop>false</ScaleCrop>
  <LinksUpToDate>false</LinksUpToDate>
  <CharactersWithSpaces>26505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2023-08-21T01:02:00Z</dcterms:created>
  <dc:creator>NTKO</dc:creator>
  <cp:lastModifiedBy>美好未来</cp:lastModifiedBy>
  <cp:lastPrinted>2025-05-15T07:42:00Z</cp:lastPrinted>
  <dcterms:modified xsi:type="dcterms:W3CDTF">2026-09-14T07:52:02Z</dcterms:modified>
  <cp:revision>139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4F7ECEA527FB4855A6FB8BB56DD5A6D8_13</vt:lpwstr>
  </property>
  <property fmtid="{D5CDD505-2E9C-101B-9397-08002B2CF9AE}" pid="4" name="KSOTemplateDocerSaveRecord">
    <vt:lpwstr>eyJoZGlkIjoiNGM3ODYxODcyNmY2ZWQ5NTExNGY1MjJiZDZiMzExMmQiLCJ1c2VySWQiOiIyNjQ2NzcwMDIifQ==</vt:lpwstr>
  </property>
</Properties>
</file>